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65E" w:rsidRDefault="00F70C55" w:rsidP="00CE765E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fldChar w:fldCharType="begin"/>
      </w:r>
      <w:r>
        <w:rPr>
          <w:rFonts w:ascii="Code 128 Notext" w:hAnsi="Code 128 Notext" w:cs="Arial"/>
          <w:sz w:val="72"/>
          <w:szCs w:val="72"/>
        </w:rPr>
        <w:instrText xml:space="preserve"> DOCPROPERTY  KOD.KOD_EVC_BARCODE  \* MERGEFORMAT </w:instrText>
      </w:r>
      <w:r>
        <w:rPr>
          <w:rFonts w:ascii="Code 128 Notext" w:hAnsi="Code 128 Notext" w:cs="Arial"/>
          <w:sz w:val="72"/>
          <w:szCs w:val="72"/>
        </w:rPr>
        <w:fldChar w:fldCharType="separate"/>
      </w:r>
      <w:r>
        <w:rPr>
          <w:rFonts w:ascii="Code 128 Notext" w:hAnsi="Code 128 Notext" w:cs="Arial" w:hint="eastAsia"/>
          <w:sz w:val="72"/>
          <w:szCs w:val="72"/>
        </w:rPr>
        <w:t>µ</w:t>
      </w:r>
      <w:r>
        <w:rPr>
          <w:rFonts w:ascii="Code 128 Notext" w:hAnsi="Code 128 Notext" w:cs="Arial"/>
          <w:sz w:val="72"/>
          <w:szCs w:val="72"/>
        </w:rPr>
        <w:t>#96028/A/2018-HMU2@r</w:t>
      </w:r>
      <w:r>
        <w:rPr>
          <w:rFonts w:ascii="Code 128 Notext" w:hAnsi="Code 128 Notext" w:cs="Arial" w:hint="eastAsia"/>
          <w:sz w:val="72"/>
          <w:szCs w:val="72"/>
        </w:rPr>
        <w:t>¸</w:t>
      </w:r>
      <w:r>
        <w:rPr>
          <w:rFonts w:ascii="Code 128 Notext" w:hAnsi="Code 128 Notext" w:cs="Arial"/>
          <w:sz w:val="72"/>
          <w:szCs w:val="72"/>
        </w:rPr>
        <w:fldChar w:fldCharType="end"/>
      </w:r>
    </w:p>
    <w:p w:rsidR="007A662F" w:rsidRPr="008E2E34" w:rsidRDefault="00F70C55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96028/A/2018-HMU2</w:t>
      </w:r>
      <w:r w:rsidRPr="008E2E34">
        <w:rPr>
          <w:rFonts w:ascii="Arial" w:hAnsi="Arial" w:cs="Arial"/>
          <w:sz w:val="18"/>
          <w:szCs w:val="18"/>
        </w:rPr>
        <w:fldChar w:fldCharType="end"/>
      </w:r>
      <w:r w:rsidRPr="008E2E34">
        <w:rPr>
          <w:rFonts w:ascii="Arial" w:hAnsi="Arial" w:cs="Arial"/>
          <w:sz w:val="18"/>
          <w:szCs w:val="18"/>
        </w:rPr>
        <w:t xml:space="preserve"> </w:t>
      </w:r>
    </w:p>
    <w:p w:rsidR="00D45E56" w:rsidRDefault="00F70C55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t xml:space="preserve">Čj.: </w:t>
      </w: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UZSVM/A/49714/2018-HMU2</w:t>
      </w:r>
      <w:r w:rsidRPr="008E2E34">
        <w:rPr>
          <w:rFonts w:ascii="Arial" w:hAnsi="Arial" w:cs="Arial"/>
          <w:sz w:val="18"/>
          <w:szCs w:val="18"/>
        </w:rPr>
        <w:fldChar w:fldCharType="end"/>
      </w:r>
    </w:p>
    <w:p w:rsidR="00E267A1" w:rsidRPr="008E2E34" w:rsidRDefault="00F70C55" w:rsidP="007A662F">
      <w:pPr>
        <w:pStyle w:val="Bezmezer"/>
        <w:rPr>
          <w:rFonts w:ascii="Arial" w:hAnsi="Arial" w:cs="Arial"/>
          <w:sz w:val="18"/>
          <w:szCs w:val="18"/>
        </w:rPr>
      </w:pPr>
    </w:p>
    <w:p w:rsidR="00E07B64" w:rsidRDefault="00F70C55" w:rsidP="006B5A0C">
      <w:pPr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Podmínky výběrových řízení na pronájem majetku vyhlašovaných Úřadem pro zastupování státu ve věcech majetkových </w:t>
      </w:r>
    </w:p>
    <w:p w:rsidR="00E267A1" w:rsidRDefault="00F70C55" w:rsidP="00E267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(dále jen „Podmínky VŘ“)</w:t>
      </w:r>
    </w:p>
    <w:p w:rsidR="00E267A1" w:rsidRDefault="00F70C55" w:rsidP="00E267A1">
      <w:pPr>
        <w:jc w:val="both"/>
        <w:rPr>
          <w:rFonts w:ascii="Arial" w:hAnsi="Arial" w:cs="Arial"/>
          <w:sz w:val="22"/>
        </w:rPr>
      </w:pPr>
    </w:p>
    <w:p w:rsidR="00E267A1" w:rsidRDefault="00F70C55" w:rsidP="00E267A1">
      <w:pPr>
        <w:jc w:val="both"/>
        <w:rPr>
          <w:rFonts w:ascii="Arial" w:hAnsi="Arial" w:cs="Arial"/>
          <w:sz w:val="22"/>
        </w:rPr>
      </w:pPr>
    </w:p>
    <w:p w:rsidR="00E267A1" w:rsidRDefault="00F70C55" w:rsidP="00E267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Podmínky VŘ upravují pravidla zjišťování zájemců o pronájem majetku státu formou výběrového řízení (dále také jen </w:t>
      </w:r>
      <w:r>
        <w:rPr>
          <w:rFonts w:ascii="Arial" w:hAnsi="Arial" w:cs="Arial"/>
          <w:sz w:val="22"/>
        </w:rPr>
        <w:t>„VŘ“), které v souladu s § 22 zákona č. 219/2000 Sb., o majetku České republiky a jejím vystupování v právních vztazích, ve znění pozdějších předpisů, a § 21 vyhlášky č. 62/2001 Sb., o hospodaření organizačních složek státu a státních organizací s majetkem</w:t>
      </w:r>
      <w:r>
        <w:rPr>
          <w:rFonts w:ascii="Arial" w:hAnsi="Arial" w:cs="Arial"/>
          <w:sz w:val="22"/>
        </w:rPr>
        <w:t xml:space="preserve"> státu, oboje ve znění pozdějších předpisů, vyhlašuje Úřad pro zastupování státu ve věcech majetkových.</w:t>
      </w:r>
    </w:p>
    <w:p w:rsidR="00E267A1" w:rsidRDefault="00F70C55" w:rsidP="00E267A1">
      <w:pPr>
        <w:jc w:val="both"/>
        <w:rPr>
          <w:rFonts w:ascii="Arial" w:hAnsi="Arial" w:cs="Arial"/>
          <w:sz w:val="22"/>
        </w:rPr>
      </w:pPr>
    </w:p>
    <w:p w:rsidR="00E267A1" w:rsidRDefault="00F70C55" w:rsidP="00E267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Tyto Podmínky VŘ jsou nedílnou součástí Oznámení o výběrovém řízení s aukcí a jeho podmínkách. Jsou k dispozici na kontaktní adrese Úřadu a na webu Úřa</w:t>
      </w:r>
      <w:r>
        <w:rPr>
          <w:rFonts w:ascii="Arial" w:hAnsi="Arial" w:cs="Arial"/>
          <w:sz w:val="22"/>
        </w:rPr>
        <w:t>du.</w:t>
      </w:r>
    </w:p>
    <w:p w:rsidR="00E267A1" w:rsidRDefault="00F70C55" w:rsidP="00E267A1">
      <w:pPr>
        <w:jc w:val="center"/>
        <w:rPr>
          <w:rFonts w:ascii="Arial" w:hAnsi="Arial" w:cs="Arial"/>
          <w:sz w:val="22"/>
        </w:rPr>
      </w:pPr>
    </w:p>
    <w:p w:rsidR="00E267A1" w:rsidRDefault="00F70C55" w:rsidP="00E267A1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Čl. 1</w:t>
      </w:r>
    </w:p>
    <w:p w:rsidR="00E267A1" w:rsidRDefault="00F70C55" w:rsidP="00E267A1">
      <w:pPr>
        <w:pStyle w:val="Zkladntext"/>
        <w:jc w:val="center"/>
        <w:rPr>
          <w:rFonts w:ascii="Arial" w:hAnsi="Arial" w:cs="Arial"/>
          <w:strike/>
          <w:szCs w:val="22"/>
        </w:rPr>
      </w:pPr>
      <w:r>
        <w:rPr>
          <w:rFonts w:ascii="Arial" w:hAnsi="Arial" w:cs="Arial"/>
          <w:b/>
          <w:bCs/>
          <w:szCs w:val="22"/>
        </w:rPr>
        <w:t>Povinný obsah a forma nabídky učiněné účastníkem výběrového řízení</w:t>
      </w:r>
    </w:p>
    <w:p w:rsidR="00E267A1" w:rsidRDefault="00F70C55" w:rsidP="00E267A1">
      <w:pPr>
        <w:pStyle w:val="Zkladntext"/>
        <w:jc w:val="center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numPr>
          <w:ilvl w:val="0"/>
          <w:numId w:val="1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</w:rPr>
        <w:t>Nabídka se předkládá v uzavřené (zalepené) obálce. Obálka s nabídkou musí být označena podle instrukcí obsažených v Oznámení o výběrovém řízení.</w:t>
      </w: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numPr>
          <w:ilvl w:val="0"/>
          <w:numId w:val="1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Nabídka podaná do výběrového ří</w:t>
      </w:r>
      <w:r>
        <w:rPr>
          <w:rFonts w:ascii="Arial" w:hAnsi="Arial" w:cs="Arial"/>
          <w:szCs w:val="22"/>
        </w:rPr>
        <w:t xml:space="preserve">zení </w:t>
      </w:r>
      <w:r>
        <w:rPr>
          <w:rFonts w:ascii="Arial" w:hAnsi="Arial" w:cs="Arial"/>
          <w:b/>
          <w:szCs w:val="22"/>
        </w:rPr>
        <w:t>musí obsahovat:</w:t>
      </w:r>
    </w:p>
    <w:p w:rsidR="00E267A1" w:rsidRDefault="00F70C55" w:rsidP="00E267A1">
      <w:pPr>
        <w:pStyle w:val="Zkladntext"/>
        <w:numPr>
          <w:ilvl w:val="0"/>
          <w:numId w:val="2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Vlastní nabídku účastníka VŘ podanou na formuláři Nabídka a prohlášení účastníka VŘ, který je k dispozici na webu Úřadu u informace o pronájmu majetku.</w:t>
      </w:r>
    </w:p>
    <w:p w:rsidR="00E267A1" w:rsidRDefault="00F70C55" w:rsidP="00E267A1">
      <w:pPr>
        <w:pStyle w:val="Zkladntext"/>
        <w:numPr>
          <w:ilvl w:val="0"/>
          <w:numId w:val="2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Výpis z obchodního rejstříku nebo obdobného rejstříku, pokud nabídku činí právnická</w:t>
      </w:r>
      <w:r>
        <w:rPr>
          <w:rFonts w:ascii="Arial" w:hAnsi="Arial" w:cs="Arial"/>
          <w:szCs w:val="22"/>
        </w:rPr>
        <w:t xml:space="preserve"> osoba.</w:t>
      </w: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u w:val="single"/>
        </w:rPr>
        <w:t>Vlastní nabídka účastníka VŘ</w:t>
      </w:r>
    </w:p>
    <w:p w:rsidR="00E267A1" w:rsidRDefault="00F70C55" w:rsidP="00E267A1">
      <w:pPr>
        <w:pStyle w:val="Zkladntext"/>
        <w:spacing w:before="12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Vlastní nabídka musí být předložena v českém jazyce na formuláři Nabídka a prohlášení účastníka VŘ a musí obsahovat tyto údaje:</w:t>
      </w:r>
    </w:p>
    <w:p w:rsidR="00E267A1" w:rsidRDefault="00F70C55" w:rsidP="00E267A1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fyzických osob jméno a příjmení, datum narození, trvalý pobyt.</w:t>
      </w:r>
    </w:p>
    <w:p w:rsidR="00E267A1" w:rsidRDefault="00F70C55" w:rsidP="00E267A1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 právnických osob přesný</w:t>
      </w:r>
      <w:r>
        <w:rPr>
          <w:rFonts w:ascii="Arial" w:hAnsi="Arial" w:cs="Arial"/>
          <w:szCs w:val="22"/>
        </w:rPr>
        <w:t xml:space="preserve"> název, sídlo, IČO a osobu oprávněnou k zastupování právnické osoby.</w:t>
      </w:r>
    </w:p>
    <w:p w:rsidR="00E267A1" w:rsidRDefault="00F70C55" w:rsidP="00E267A1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V případě nabídky o koupi do spoluvlastnictví musí být uvedeny identifikační údaje u všech účastníků. </w:t>
      </w:r>
    </w:p>
    <w:p w:rsidR="00E267A1" w:rsidRDefault="00F70C55" w:rsidP="00E267A1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Nabízenou výši nájemného, která musí být uvedena číselně i slovně v Kč, přičemž v př</w:t>
      </w:r>
      <w:r>
        <w:rPr>
          <w:rFonts w:ascii="Arial" w:hAnsi="Arial" w:cs="Arial"/>
          <w:szCs w:val="22"/>
        </w:rPr>
        <w:t>ípadě rozdílu mezi číselnou a slovní hodnotou má přednost slovní hodnota. Nabídka, která obsahuje nižší nabízenou výši nájemného než je vyhlášené minimální nájemné, nebude do VŘ zahrnuta.</w:t>
      </w:r>
    </w:p>
    <w:p w:rsidR="00E267A1" w:rsidRDefault="00F70C55" w:rsidP="00E267A1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Prohlášení účastníka výběrového řízení, včetně souhlasu se zde uvede</w:t>
      </w:r>
      <w:r>
        <w:rPr>
          <w:rFonts w:ascii="Arial" w:hAnsi="Arial" w:cs="Arial"/>
          <w:szCs w:val="22"/>
        </w:rPr>
        <w:t>nými podmínkami VŘ a prohlášení o složení kauce.</w:t>
      </w:r>
    </w:p>
    <w:p w:rsidR="00E267A1" w:rsidRDefault="00F70C55" w:rsidP="00E267A1">
      <w:pPr>
        <w:pStyle w:val="Zkladntext"/>
        <w:numPr>
          <w:ilvl w:val="0"/>
          <w:numId w:val="3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Vlastní nabídka musí být podepsána účastníkem VŘ (u právnických osob v souladu se zápisem  ve veřejném rejstříku nebo v obdobném rejstříku nebo se zvláštním zákonem, podle kterého právnická osoba vzniká), př</w:t>
      </w:r>
      <w:r>
        <w:rPr>
          <w:rFonts w:ascii="Arial" w:hAnsi="Arial" w:cs="Arial"/>
          <w:szCs w:val="22"/>
        </w:rPr>
        <w:t xml:space="preserve">i podání společné nabídky více osobami (při nabývání do spoluvlastnictví) všemi osobami. </w:t>
      </w:r>
    </w:p>
    <w:p w:rsidR="00E267A1" w:rsidRDefault="00F70C55" w:rsidP="00E267A1">
      <w:pPr>
        <w:pStyle w:val="Zkladntext"/>
        <w:spacing w:before="60"/>
        <w:ind w:left="2748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spacing w:before="6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Účastníci VŘ </w:t>
      </w:r>
      <w:r>
        <w:rPr>
          <w:rFonts w:ascii="Arial" w:hAnsi="Arial" w:cs="Arial"/>
          <w:b/>
          <w:szCs w:val="22"/>
        </w:rPr>
        <w:t>mohou nepovinně uvést</w:t>
      </w:r>
      <w:r>
        <w:rPr>
          <w:rFonts w:ascii="Arial" w:hAnsi="Arial" w:cs="Arial"/>
          <w:szCs w:val="22"/>
        </w:rPr>
        <w:t xml:space="preserve"> další údaje (adresu pro doručování, pokud je odlišná od adresy trvalého pobytu nebo sídla; informaci o složení kauce, tj. zda kauc</w:t>
      </w:r>
      <w:r>
        <w:rPr>
          <w:rFonts w:ascii="Arial" w:hAnsi="Arial" w:cs="Arial"/>
          <w:szCs w:val="22"/>
        </w:rPr>
        <w:t>e byla složena v hotovosti nebo bankovním převodem, číslo účtu, z něhož byla odeslána, variabilní symbol a specifický symbol platby; číslo účtu pro vrácení kauce; telefon, e-mail; informace o osobním stavu fyzické osoby: ženatý - vdaná - ostatní; osobní úd</w:t>
      </w:r>
      <w:r>
        <w:rPr>
          <w:rFonts w:ascii="Arial" w:hAnsi="Arial" w:cs="Arial"/>
          <w:szCs w:val="22"/>
        </w:rPr>
        <w:t>aje manželky/manžela, pokud je účastník VŘ ženatý/vdaná a hodlá užívat majetek společně s manželkou/manželem. Doporučuje se, aby nabídka obsahovala i případný doklad o uspořádání společného jmění manželů.</w:t>
      </w: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u w:val="single"/>
        </w:rPr>
        <w:t>Výpis z veřejného rejstříku nebo obdobného rejstří</w:t>
      </w:r>
      <w:r>
        <w:rPr>
          <w:rFonts w:ascii="Arial" w:hAnsi="Arial" w:cs="Arial"/>
          <w:szCs w:val="22"/>
          <w:u w:val="single"/>
        </w:rPr>
        <w:t>ku</w:t>
      </w:r>
    </w:p>
    <w:p w:rsidR="00E267A1" w:rsidRDefault="00F70C55" w:rsidP="00E267A1">
      <w:pPr>
        <w:pStyle w:val="Zkladntext"/>
        <w:spacing w:before="6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Právnická osoba přiloží k nabídce platný výpis z veřejného rejstříku. U právnické osoby, která se nezapisuje do veřejného rejstříku, doloží tato osoba platný výpis z jiného zákonem stanoveného rejstříku, v němž je zapsána, případně kopii písemné smlouvy</w:t>
      </w:r>
      <w:r>
        <w:rPr>
          <w:rFonts w:ascii="Arial" w:hAnsi="Arial" w:cs="Arial"/>
          <w:szCs w:val="22"/>
        </w:rPr>
        <w:t xml:space="preserve"> nebo zakládací listiny, která prokazuje založení právnické osoby, způsob podepisování a případné změny těchto údajů, nebo odkaz na zvláštní zákon, kterým právnická osoba vzniká. Tyto podmínky se nevztahují na obce a kraje.</w:t>
      </w: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u w:val="single"/>
        </w:rPr>
        <w:t xml:space="preserve">Doklad o uspořádání společného </w:t>
      </w:r>
      <w:r>
        <w:rPr>
          <w:rFonts w:ascii="Arial" w:hAnsi="Arial" w:cs="Arial"/>
          <w:szCs w:val="22"/>
          <w:u w:val="single"/>
        </w:rPr>
        <w:t>jmění manželů</w:t>
      </w:r>
    </w:p>
    <w:p w:rsidR="00E267A1" w:rsidRDefault="00F70C55" w:rsidP="00E267A1">
      <w:pPr>
        <w:pStyle w:val="Zkladntext"/>
        <w:spacing w:before="6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Podává-li jeden z manželů nabídku a hodlá užívat pronajímaný majetek výlučně sám, se doporučuje k nabídce přiložit některý z těchto dokladů (tato podmínka se nevztahuje na cizozemce, pokud nepodléhají režimu společného jmění manželů):</w:t>
      </w:r>
    </w:p>
    <w:p w:rsidR="00E267A1" w:rsidRDefault="00F70C55" w:rsidP="00E267A1">
      <w:pPr>
        <w:pStyle w:val="Zkladntext"/>
        <w:numPr>
          <w:ilvl w:val="0"/>
          <w:numId w:val="4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Písemné</w:t>
      </w:r>
      <w:r>
        <w:rPr>
          <w:rFonts w:ascii="Arial" w:hAnsi="Arial" w:cs="Arial"/>
          <w:szCs w:val="22"/>
        </w:rPr>
        <w:t xml:space="preserve"> prohlášení druhého manžela opatřené jeho podpisem, že manžel, který podává nabídku, uhradí nájemné z prostředků, které nejsou součástí společného jmění manželů.</w:t>
      </w:r>
    </w:p>
    <w:p w:rsidR="00E267A1" w:rsidRDefault="00F70C55" w:rsidP="00E267A1">
      <w:pPr>
        <w:pStyle w:val="Zkladntext"/>
        <w:numPr>
          <w:ilvl w:val="0"/>
          <w:numId w:val="4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Notářský zápis o zúžení společného jmění manželů nebo o smluveném manželském majetkovém režimu</w:t>
      </w:r>
      <w:r>
        <w:rPr>
          <w:rFonts w:ascii="Arial" w:hAnsi="Arial" w:cs="Arial"/>
          <w:szCs w:val="22"/>
        </w:rPr>
        <w:t xml:space="preserve"> podle § 716 zákona č. 89/2012 Sb., občanský zákoník, ve znění pozdějších předpisů (dále jen „NOZ“).</w:t>
      </w:r>
    </w:p>
    <w:p w:rsidR="00E267A1" w:rsidRDefault="00F70C55" w:rsidP="00E267A1">
      <w:pPr>
        <w:pStyle w:val="Zkladntext"/>
        <w:numPr>
          <w:ilvl w:val="0"/>
          <w:numId w:val="4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Pravomocný rozsudek, jímž došlo ke zrušení společného jmění manželů (prostá kopie).</w:t>
      </w:r>
    </w:p>
    <w:p w:rsidR="00E267A1" w:rsidRDefault="00F70C55" w:rsidP="00E267A1">
      <w:pPr>
        <w:pStyle w:val="Zkladntext"/>
        <w:numPr>
          <w:ilvl w:val="0"/>
          <w:numId w:val="4"/>
        </w:numPr>
        <w:spacing w:before="60"/>
        <w:ind w:left="714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Pravomocný rozsudek o zúžení rozsahu společného jmění manželů (prostá k</w:t>
      </w:r>
      <w:r>
        <w:rPr>
          <w:rFonts w:ascii="Arial" w:hAnsi="Arial" w:cs="Arial"/>
          <w:szCs w:val="22"/>
        </w:rPr>
        <w:t>opie).</w:t>
      </w:r>
    </w:p>
    <w:p w:rsidR="00E267A1" w:rsidRDefault="00F70C55" w:rsidP="00E267A1">
      <w:pPr>
        <w:pStyle w:val="Zkladntext"/>
        <w:spacing w:before="120"/>
        <w:ind w:left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Nepředloží-li vítězný účastník VŘ žijící v manželství takový doklad v dodatečné lhůtě stanovené Úřadem, lze pronajímané věci přenechat jen oběma manželům. V takovém případě lze identifikační údaje druhého z manželů doložit Úřadu i dodatečně před pod</w:t>
      </w:r>
      <w:r>
        <w:rPr>
          <w:rFonts w:ascii="Arial" w:hAnsi="Arial" w:cs="Arial"/>
          <w:szCs w:val="22"/>
        </w:rPr>
        <w:t>pisem smlouvy o nájmu majetku.</w:t>
      </w:r>
    </w:p>
    <w:p w:rsidR="00E267A1" w:rsidRDefault="00F70C55" w:rsidP="00E267A1">
      <w:pPr>
        <w:pStyle w:val="Zkladntext"/>
        <w:jc w:val="center"/>
        <w:rPr>
          <w:rFonts w:ascii="Arial" w:hAnsi="Arial" w:cs="Arial"/>
          <w:iCs/>
          <w:szCs w:val="22"/>
        </w:rPr>
      </w:pPr>
    </w:p>
    <w:p w:rsidR="00E267A1" w:rsidRDefault="00F70C55" w:rsidP="00E267A1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Čl. 2</w:t>
      </w:r>
    </w:p>
    <w:p w:rsidR="00E267A1" w:rsidRDefault="00F70C55" w:rsidP="00E267A1">
      <w:pPr>
        <w:pStyle w:val="Zkladn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szCs w:val="22"/>
        </w:rPr>
        <w:t>Kauce</w:t>
      </w:r>
    </w:p>
    <w:p w:rsidR="00E267A1" w:rsidRDefault="00F70C55" w:rsidP="00E267A1">
      <w:pPr>
        <w:pStyle w:val="Zkladntext"/>
        <w:jc w:val="center"/>
        <w:rPr>
          <w:rFonts w:ascii="Arial" w:hAnsi="Arial" w:cs="Arial"/>
          <w:iCs/>
          <w:szCs w:val="22"/>
        </w:rPr>
      </w:pPr>
    </w:p>
    <w:p w:rsidR="00E267A1" w:rsidRDefault="00F70C55" w:rsidP="00E267A1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Účast ve VŘ může být podmíněna složením částky na úhradu části nájemného, kterou účastník VŘ složí na účet Úřadu (dále jen „kauce“), </w:t>
      </w:r>
      <w:r>
        <w:rPr>
          <w:rFonts w:ascii="Arial" w:hAnsi="Arial" w:cs="Arial"/>
          <w:iCs/>
          <w:szCs w:val="22"/>
        </w:rPr>
        <w:t>ve výši stanovené v Oznámení o VŘ</w:t>
      </w:r>
      <w:r>
        <w:rPr>
          <w:rFonts w:ascii="Arial" w:hAnsi="Arial" w:cs="Arial"/>
          <w:szCs w:val="22"/>
        </w:rPr>
        <w:t xml:space="preserve">. </w:t>
      </w: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Kauci lze složit bezhotovostním převodem, složením hotovosti v bance nebo zasláním poštovní poukázkou </w:t>
      </w:r>
      <w:r>
        <w:rPr>
          <w:rFonts w:ascii="Arial" w:hAnsi="Arial" w:cs="Arial"/>
          <w:iCs/>
          <w:szCs w:val="22"/>
        </w:rPr>
        <w:t>na účet uvedený v Oznámení o VŘ. Kauci nelze složit v hotovosti v pokladně Úřadu. Jako specifický symbol uvede fyzická osoba datum narození ve formátu DDM</w:t>
      </w:r>
      <w:r>
        <w:rPr>
          <w:rFonts w:ascii="Arial" w:hAnsi="Arial" w:cs="Arial"/>
          <w:iCs/>
          <w:szCs w:val="22"/>
        </w:rPr>
        <w:t>MRRRR a právnická osoba své IČO.</w:t>
      </w:r>
    </w:p>
    <w:p w:rsidR="00E267A1" w:rsidRDefault="00F70C55" w:rsidP="00E267A1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Variabilní a specifický symbol jsou identifikační údaje platby kauce, na základě kterých je kauce přiřazována ke konkrétní nabídce doručené do VŘ. Uvedení variabilního a specifického symbolu ve správném tvaru je odpovědnos</w:t>
      </w:r>
      <w:r>
        <w:rPr>
          <w:rFonts w:ascii="Arial" w:hAnsi="Arial" w:cs="Arial"/>
          <w:szCs w:val="22"/>
        </w:rPr>
        <w:t>tí účastníka VŘ. V případě jakýchkoli pochybností se kauce k nabídce nepřiřadí. Nabídka, ke které se nepodaří Komisi přiřadit kauci připsanou včas a řádně na účet Úřadu, nebude do VŘ zahrnuta. Nezahrnutí nabídky do VŘ v důsledku nedostatečné identifikace p</w:t>
      </w:r>
      <w:r>
        <w:rPr>
          <w:rFonts w:ascii="Arial" w:hAnsi="Arial" w:cs="Arial"/>
          <w:szCs w:val="22"/>
        </w:rPr>
        <w:t>latby kauce jde k tíži účastníka VŘ.</w:t>
      </w:r>
    </w:p>
    <w:p w:rsidR="00E267A1" w:rsidRDefault="00F70C55" w:rsidP="00E267A1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Účastník VŘ má možnost sdělit Úřadu identifikační údaje platby kauce v Nabídce a prohlášení účastníka VŘ nebo předložením dokladu o složení kauce při prezenci; tj. doklad o složení kauce účastník VŘ může předložit buď </w:t>
      </w:r>
      <w:r>
        <w:rPr>
          <w:rFonts w:ascii="Arial" w:hAnsi="Arial" w:cs="Arial"/>
          <w:szCs w:val="22"/>
        </w:rPr>
        <w:t>spolu s Nabídkou a prohlášením účastníka VŘ nebo při prezenci účastníků VŘ. Dokladem o složení kauce se pro účely tohoto VŘ rozumí, např. výpis z bankovního účtu účastníka VŘ nebo doklad o složení kauce v hotovosti v bance nebo podací lístek poštovní pouká</w:t>
      </w:r>
      <w:r>
        <w:rPr>
          <w:rFonts w:ascii="Arial" w:hAnsi="Arial" w:cs="Arial"/>
          <w:szCs w:val="22"/>
        </w:rPr>
        <w:t>zky.</w:t>
      </w: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Kauce musí být připsána na účet Úřadu nejpozději ve stejném termínu (tj. v den a hodinu), který je určen pro podání nabídky</w:t>
      </w:r>
      <w:r>
        <w:rPr>
          <w:rFonts w:ascii="Arial" w:hAnsi="Arial" w:cs="Arial"/>
          <w:iCs/>
          <w:szCs w:val="22"/>
        </w:rPr>
        <w:t xml:space="preserve">. V případě opožděného připsání kauce na účet Úřadu, nebude nabídka do VŘ zahrnuta. </w:t>
      </w:r>
      <w:r>
        <w:rPr>
          <w:rFonts w:ascii="Arial" w:hAnsi="Arial" w:cs="Arial"/>
          <w:szCs w:val="22"/>
        </w:rPr>
        <w:t>Kauci je nutné zaslat v dostatečném časovém</w:t>
      </w:r>
      <w:r>
        <w:rPr>
          <w:rFonts w:ascii="Arial" w:hAnsi="Arial" w:cs="Arial"/>
          <w:szCs w:val="22"/>
        </w:rPr>
        <w:t xml:space="preserve"> předstihu vzhledem ke lhůtám mezibankovních převodů; včasné připsání kauce na účet Úřadu je odpovědností účastníka řízení. Případné zdržení připsání kauce na účet Úřadu jde k tíži účastníka VŘ.</w:t>
      </w: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iCs/>
          <w:szCs w:val="22"/>
        </w:rPr>
        <w:t xml:space="preserve">Za dobu od složení kauce do uplynutí lhůty pro její vrácení </w:t>
      </w:r>
      <w:r>
        <w:rPr>
          <w:rFonts w:ascii="Arial" w:hAnsi="Arial" w:cs="Arial"/>
          <w:iCs/>
          <w:szCs w:val="22"/>
        </w:rPr>
        <w:t>podle těchto Podmínek VŘ nemohou účastníci VŘ uplatňovat vůči Úřadu nárok na příslušenství z kauce přirostlé za toto období.</w:t>
      </w: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Kauce propadne ve prospěch Úřadu v případě, že vítěz VŘ zmaří svým jednáním uzavření smlouvy o nájmu majetku nebo nepodepíše </w:t>
      </w:r>
      <w:r>
        <w:rPr>
          <w:rFonts w:ascii="Arial" w:hAnsi="Arial" w:cs="Arial"/>
          <w:szCs w:val="22"/>
        </w:rPr>
        <w:t>smlouvu o nájmu majetku. V případě, že nájemce poruší podmínky smlouvy o nájmu majetku, naloží se s kaucí podle ustanovení smlouvy o nájmu majetku. Kauce propadne i v případě, že nájemné za pronajímaný majetek lze hradit pouze s prostředků spadajících do s</w:t>
      </w:r>
      <w:r>
        <w:rPr>
          <w:rFonts w:ascii="Arial" w:hAnsi="Arial" w:cs="Arial"/>
          <w:szCs w:val="22"/>
        </w:rPr>
        <w:t>polečného jmění manželů, avšak druhý z manželů v přiměřené lhůtě neposkytne své identifikační údaje nebo odmítne podepsat smlouvu o nájmu majetku.</w:t>
      </w:r>
    </w:p>
    <w:p w:rsidR="00E267A1" w:rsidRDefault="00F70C55" w:rsidP="00E267A1">
      <w:pPr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Účastníkům VŘ, kteří v něm nezvítězili, bude kauce vrácena bez prodlení po oznámení výsledků VŘ, nejpozději </w:t>
      </w:r>
      <w:r>
        <w:rPr>
          <w:rFonts w:ascii="Arial" w:hAnsi="Arial" w:cs="Arial"/>
          <w:szCs w:val="22"/>
        </w:rPr>
        <w:t>však do 10 pracovních dnů ode dne otevírání obálek. Tato lhůta nezačne běžet v případě, kdy účastník nesdělí Úřadu číslo účtu, na který má být kauce vrácena.</w:t>
      </w:r>
    </w:p>
    <w:p w:rsidR="00E267A1" w:rsidRDefault="00F70C55" w:rsidP="00E267A1">
      <w:pPr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pStyle w:val="Zkladntext"/>
        <w:numPr>
          <w:ilvl w:val="0"/>
          <w:numId w:val="5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Kauce se vrací zásadně bezhotovostním bankovním převodem na účet, který účastník VŘ uvede v Nabíd</w:t>
      </w:r>
      <w:r>
        <w:rPr>
          <w:rFonts w:ascii="Arial" w:hAnsi="Arial" w:cs="Arial"/>
          <w:szCs w:val="22"/>
        </w:rPr>
        <w:t>ce a prohlášení účastníka VŘ. Sdělení čísla účtu, na který má být kauce vrácena, je odpovědností účastníka VŘ. Pokud tento údaj nesdělí, bude kauce v případě bezhotovostního bankovního převodu vrácena na účet, ze kterého byla odeslána. V případě složení ka</w:t>
      </w:r>
      <w:r>
        <w:rPr>
          <w:rFonts w:ascii="Arial" w:hAnsi="Arial" w:cs="Arial"/>
          <w:szCs w:val="22"/>
        </w:rPr>
        <w:t xml:space="preserve">uce v hotovosti na účet Úřadu nebo zaslání poštovní poukázkou se doporučuje vždy uvést číslo účtu, na který má být kauce Úřadem vrácena. Za prodlení s vrácením kauce zaviněné nesdělením čísla účtu, na který má být kauce vrácena, </w:t>
      </w:r>
      <w:r>
        <w:rPr>
          <w:rFonts w:ascii="Arial" w:hAnsi="Arial" w:cs="Arial"/>
          <w:iCs/>
          <w:szCs w:val="22"/>
        </w:rPr>
        <w:t>nemohou účastníci VŘ uplatň</w:t>
      </w:r>
      <w:r>
        <w:rPr>
          <w:rFonts w:ascii="Arial" w:hAnsi="Arial" w:cs="Arial"/>
          <w:iCs/>
          <w:szCs w:val="22"/>
        </w:rPr>
        <w:t>ovat vůči Úřadu nárok na příslušenství z kauce přirostlé za toto období.</w:t>
      </w:r>
    </w:p>
    <w:p w:rsidR="00E267A1" w:rsidRDefault="00F70C55" w:rsidP="00E267A1">
      <w:pPr>
        <w:pStyle w:val="Zkladntext"/>
        <w:jc w:val="center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Čl. 3 </w:t>
      </w:r>
    </w:p>
    <w:p w:rsidR="00E267A1" w:rsidRDefault="00F70C55" w:rsidP="00E267A1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Výběr nájemce ve výběrovém řízení s aukcí</w:t>
      </w:r>
    </w:p>
    <w:p w:rsidR="00E267A1" w:rsidRDefault="00F70C55" w:rsidP="00E267A1">
      <w:pPr>
        <w:jc w:val="center"/>
        <w:rPr>
          <w:rFonts w:ascii="Arial" w:hAnsi="Arial" w:cs="Arial"/>
          <w:bCs/>
          <w:sz w:val="22"/>
          <w:szCs w:val="22"/>
        </w:rPr>
      </w:pPr>
    </w:p>
    <w:p w:rsidR="00E267A1" w:rsidRDefault="00F70C55" w:rsidP="00E267A1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iCs/>
          <w:szCs w:val="22"/>
        </w:rPr>
      </w:pPr>
      <w:r>
        <w:rPr>
          <w:rFonts w:ascii="Arial" w:hAnsi="Arial" w:cs="Arial"/>
          <w:sz w:val="22"/>
          <w:szCs w:val="22"/>
        </w:rPr>
        <w:t>Jako jediné kritérium pro výběr nájemce se stanovuje výše nabízeného nájemného. Výběr nájemce bude proveden i v případě, pokud se př</w:t>
      </w:r>
      <w:r>
        <w:rPr>
          <w:rFonts w:ascii="Arial" w:hAnsi="Arial" w:cs="Arial"/>
          <w:sz w:val="22"/>
          <w:szCs w:val="22"/>
        </w:rPr>
        <w:t>ihlásí pouze jeden zájemce.</w:t>
      </w:r>
    </w:p>
    <w:p w:rsidR="00E267A1" w:rsidRDefault="00F70C55" w:rsidP="00E267A1">
      <w:pPr>
        <w:jc w:val="both"/>
        <w:rPr>
          <w:rFonts w:ascii="Arial" w:hAnsi="Arial" w:cs="Arial"/>
          <w:iCs/>
          <w:sz w:val="22"/>
          <w:szCs w:val="22"/>
        </w:rPr>
      </w:pPr>
    </w:p>
    <w:p w:rsidR="00E267A1" w:rsidRDefault="00F70C55" w:rsidP="00E267A1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posuzování nabídek podaných do VŘ nebude zahrnuta obálka s nabídkou, která byla doručena po lhůtě stanovené v Oznámení o VŘ, nebo nesplňuje některou ze závazných podmínek podle těchto Podmínek VŘ, případně dalších dokumentů </w:t>
      </w:r>
      <w:r>
        <w:rPr>
          <w:rFonts w:ascii="Arial" w:hAnsi="Arial" w:cs="Arial"/>
          <w:sz w:val="22"/>
          <w:szCs w:val="22"/>
        </w:rPr>
        <w:t xml:space="preserve">k výběrovému řízení, dále nabídka, u níž se Komisi nepodaří přiřadit kauci připsanou na účet Úřadu, nabídka, u níž nebude připsána kauce na účet Úřadu řádně a včas. </w:t>
      </w:r>
    </w:p>
    <w:p w:rsidR="00E267A1" w:rsidRDefault="00F70C55" w:rsidP="00E267A1">
      <w:pPr>
        <w:jc w:val="both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Otevírání obálek se uskuteční do 60 minut po uplynutí lhůty pro podání obálek s nabídkami</w:t>
      </w:r>
      <w:r>
        <w:rPr>
          <w:rFonts w:ascii="Arial" w:hAnsi="Arial" w:cs="Arial"/>
          <w:b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Otevírání obálek s nabídkami zajišťuje Komise pro otevírání obálek jmenovaná ředitelem územního pracoviště, ředitelem odboru Hospodaření s majetkem státu nebo ředitelem odloučeného pracoviště Úřadu (dále jen „Komise“). Při otevírání obálek s nabídkami sděl</w:t>
      </w:r>
      <w:r>
        <w:rPr>
          <w:rFonts w:ascii="Arial" w:hAnsi="Arial" w:cs="Arial"/>
          <w:sz w:val="22"/>
          <w:szCs w:val="22"/>
        </w:rPr>
        <w:t>uje předsedající Komise (dál jen „předsedající“) všem přítomným účastníka, který podal obálku s nabídkou, splnění či nesplnění všech vyhlášených podmínek pro podání obálky s nabídkou a výši nabídnuté ceny. Obálky s nabídkami, které nesplnily všechny vyhláš</w:t>
      </w:r>
      <w:r>
        <w:rPr>
          <w:rFonts w:ascii="Arial" w:hAnsi="Arial" w:cs="Arial"/>
          <w:sz w:val="22"/>
          <w:szCs w:val="22"/>
        </w:rPr>
        <w:t xml:space="preserve">ené podmínky pro podání nabídky, Komise nezahrne do dalšího posuzování. </w:t>
      </w:r>
    </w:p>
    <w:p w:rsidR="00E267A1" w:rsidRDefault="00F70C55" w:rsidP="00E267A1">
      <w:pPr>
        <w:pStyle w:val="Odstavecseseznamem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 skončení otevírání obálek s nabídkami předsedající sdělí účastníkům VŘ a veřejnosti jméno a příjmení (název) účastníka VŘ, který splnil všechny vyhlášené podmínky pro podání nabíd</w:t>
      </w:r>
      <w:r>
        <w:rPr>
          <w:rFonts w:ascii="Arial" w:hAnsi="Arial" w:cs="Arial"/>
          <w:sz w:val="22"/>
          <w:szCs w:val="22"/>
        </w:rPr>
        <w:t>ky ve VŘ a podal nejvyšší nabídku nájemného, dále sdělí, zda jsou splněny podmínky pro konání aukce. Pokud nejsou splněny podmínky pro konání aukce, předsedající ukončí VŘ a o průběhu otevírání obálek s nabídkami je sepsán protokol, který podepisují přítom</w:t>
      </w:r>
      <w:r>
        <w:rPr>
          <w:rFonts w:ascii="Arial" w:hAnsi="Arial" w:cs="Arial"/>
          <w:sz w:val="22"/>
          <w:szCs w:val="22"/>
        </w:rPr>
        <w:t>ní členové Komise na všech jeho stránkách.</w:t>
      </w:r>
    </w:p>
    <w:p w:rsidR="00E267A1" w:rsidRDefault="00F70C55" w:rsidP="00E267A1">
      <w:pPr>
        <w:jc w:val="both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jc w:val="both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jc w:val="both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jc w:val="both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Aukce se uskuteční, pokud byly doručeny alespoň 2 a více bezvadné nabídky, které splňují všechny podmínky VŘ. Aukce se koná bezprostředně po skončení VŘ. Do aukce mohou postoupit účastníci, kteří podali bezvad</w:t>
      </w:r>
      <w:r>
        <w:rPr>
          <w:rFonts w:ascii="Arial" w:hAnsi="Arial" w:cs="Arial"/>
          <w:sz w:val="22"/>
          <w:szCs w:val="22"/>
        </w:rPr>
        <w:t>nou nabídku do VŘ, osobně se dostaví k otevírání obálek a prokážou své oprávnění jednat. Počet účastníků aukce se určí jako ¾ všech bezvadných nabídek doručených do VŘ. Počet účastníků aukce se zaokrouhluje směrem nahoru. V tomto počtu se aukce mohou zúčas</w:t>
      </w:r>
      <w:r>
        <w:rPr>
          <w:rFonts w:ascii="Arial" w:hAnsi="Arial" w:cs="Arial"/>
          <w:sz w:val="22"/>
          <w:szCs w:val="22"/>
        </w:rPr>
        <w:t>tnit přítomní účastníci VŘ v pořadí od nejvyšší nabídky kupní ceny. Způsob prokázání oprávnění jednat je uveden v těchto Podmínkách VŘ. Předsedající oznámí účastníky VŘ postupující do aukce. Účast v  aukci je dobrovolná.</w:t>
      </w:r>
    </w:p>
    <w:p w:rsidR="00E267A1" w:rsidRDefault="00F70C55" w:rsidP="00E267A1">
      <w:pPr>
        <w:jc w:val="both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3/4 účastníků podle odst. 5 tohoto</w:t>
      </w:r>
      <w:r>
        <w:rPr>
          <w:rFonts w:ascii="Arial" w:hAnsi="Arial" w:cs="Arial"/>
          <w:sz w:val="22"/>
          <w:szCs w:val="22"/>
        </w:rPr>
        <w:t xml:space="preserve"> článku se stanoví podle následující tabulky:</w:t>
      </w:r>
    </w:p>
    <w:p w:rsidR="00E267A1" w:rsidRDefault="00F70C55" w:rsidP="00E267A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1"/>
        <w:gridCol w:w="514"/>
        <w:gridCol w:w="515"/>
        <w:gridCol w:w="515"/>
        <w:gridCol w:w="515"/>
        <w:gridCol w:w="514"/>
        <w:gridCol w:w="515"/>
        <w:gridCol w:w="515"/>
        <w:gridCol w:w="515"/>
        <w:gridCol w:w="516"/>
        <w:gridCol w:w="515"/>
        <w:gridCol w:w="516"/>
        <w:gridCol w:w="516"/>
        <w:gridCol w:w="516"/>
        <w:gridCol w:w="516"/>
      </w:tblGrid>
      <w:tr w:rsidR="00FD6748" w:rsidTr="00E267A1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Počet bezvadných nabídek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15</w:t>
            </w:r>
          </w:p>
        </w:tc>
      </w:tr>
      <w:tr w:rsidR="00FD6748" w:rsidTr="00E267A1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Z toho 3/4 postupující do aukce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7A1" w:rsidRDefault="00F70C55">
            <w:pPr>
              <w:pStyle w:val="Odstavecseseznamem"/>
              <w:spacing w:line="254" w:lineRule="auto"/>
              <w:ind w:left="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12</w:t>
            </w:r>
          </w:p>
        </w:tc>
      </w:tr>
    </w:tbl>
    <w:p w:rsidR="00E267A1" w:rsidRDefault="00F70C55" w:rsidP="00E267A1">
      <w:pPr>
        <w:rPr>
          <w:rFonts w:ascii="Arial" w:hAnsi="Arial" w:cs="Arial"/>
          <w:sz w:val="22"/>
          <w:szCs w:val="22"/>
          <w:lang w:eastAsia="en-US"/>
        </w:rPr>
      </w:pPr>
    </w:p>
    <w:p w:rsidR="00E267A1" w:rsidRDefault="00F70C55" w:rsidP="00E267A1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Aukce neprobíhá podle zákona č. 26/2000 Sb., o veřejných dražbách. O pravidlech </w:t>
      </w:r>
      <w:r>
        <w:rPr>
          <w:rFonts w:ascii="Arial" w:hAnsi="Arial" w:cs="Arial"/>
          <w:sz w:val="22"/>
          <w:szCs w:val="22"/>
        </w:rPr>
        <w:t>průběhu aukce budou všichni přítomní účastníci a veřejnost poučeni předsedajícím před zahájením vlastní aukce. Tato pravidla jsou obsažena v Informaci pro účastníky výběrového řízení a veřejnost k průběhu aukce. Informace jsou k dispozici na webu Úřadu.</w:t>
      </w:r>
    </w:p>
    <w:p w:rsidR="00E267A1" w:rsidRDefault="00F70C55" w:rsidP="00E267A1">
      <w:pPr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růběh aukce je zaznamenán v protokolu o výběrovém řízení, který podepíší všichni přítomní členové Komise a licitátor, je-li určen, na všech jeho stránkách a účastník aukce, který podal nejvyšší nabídku nájemného. Protokol mohou podepsat i ostatní účastníci</w:t>
      </w:r>
      <w:r>
        <w:rPr>
          <w:rFonts w:ascii="Arial" w:hAnsi="Arial" w:cs="Arial"/>
          <w:sz w:val="22"/>
          <w:szCs w:val="22"/>
        </w:rPr>
        <w:t xml:space="preserve"> VŘ, kteří se VŘ zúčastnili až do jeho konce.</w:t>
      </w:r>
    </w:p>
    <w:p w:rsidR="00E267A1" w:rsidRDefault="00F70C55" w:rsidP="00E267A1">
      <w:pPr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pStyle w:val="Odstavecseseznamem"/>
        <w:numPr>
          <w:ilvl w:val="0"/>
          <w:numId w:val="6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Výsledek VŘ bude písemně oznámen všem účastníkům VŘ do 10 pracovních dnů od data konání aukce. Vítězný účastník VŘ obdrží zároveň smlouvu o nájmu majetku k podpisu.</w:t>
      </w:r>
    </w:p>
    <w:p w:rsidR="00E267A1" w:rsidRDefault="00F70C55" w:rsidP="00E267A1">
      <w:pPr>
        <w:pStyle w:val="Zkladntext"/>
        <w:jc w:val="center"/>
        <w:rPr>
          <w:rFonts w:ascii="Arial" w:hAnsi="Arial" w:cs="Arial"/>
          <w:bCs/>
          <w:szCs w:val="22"/>
        </w:rPr>
      </w:pPr>
    </w:p>
    <w:p w:rsidR="00E267A1" w:rsidRDefault="00F70C55" w:rsidP="00E267A1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Čl. 4 </w:t>
      </w:r>
    </w:p>
    <w:p w:rsidR="00E267A1" w:rsidRDefault="00F70C55" w:rsidP="00E267A1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Prezence účastníků výběrového řízení</w:t>
      </w:r>
    </w:p>
    <w:p w:rsidR="00E267A1" w:rsidRDefault="00F70C55" w:rsidP="00E267A1">
      <w:pPr>
        <w:pStyle w:val="Zkladntext"/>
        <w:jc w:val="center"/>
        <w:rPr>
          <w:rFonts w:ascii="Arial" w:hAnsi="Arial" w:cs="Arial"/>
          <w:bCs/>
          <w:szCs w:val="22"/>
        </w:rPr>
      </w:pPr>
    </w:p>
    <w:p w:rsidR="00E267A1" w:rsidRDefault="00F70C55" w:rsidP="00E267A1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Prezence účastníků VŘ bude probíhat od uplynutí lhůty pro podání nabídek maximálně po dobu 30 minut. Po uplynutí této doby bude zahájeno otevírání doručených obálek s nabídkami. Účastníkovi VŘ nebo jeho zmocněnci, který se k prezenci dostaví po uplynutí </w:t>
      </w:r>
      <w:r>
        <w:rPr>
          <w:rFonts w:ascii="Arial" w:hAnsi="Arial" w:cs="Arial"/>
          <w:szCs w:val="22"/>
        </w:rPr>
        <w:t>doby určené k prezenci účastníků VŘ, nebude prezence umožněna. Takový účastník VŘ nebo jeho zástupce může být VŘ dále přítomen pouze jako veřejnost.</w:t>
      </w: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Účastníci VŘ se zapisují do Prezenční listiny pro účastníky výběrového řízení, která je nedílnou součástí </w:t>
      </w:r>
      <w:r>
        <w:rPr>
          <w:rFonts w:ascii="Arial" w:hAnsi="Arial" w:cs="Arial"/>
          <w:szCs w:val="22"/>
        </w:rPr>
        <w:t xml:space="preserve">Protokolu o výběrovém řízení. </w:t>
      </w:r>
      <w:r>
        <w:rPr>
          <w:rFonts w:ascii="Arial" w:hAnsi="Arial" w:cs="Arial"/>
        </w:rPr>
        <w:t xml:space="preserve">Prezence účastníků VŘ u fyzických osob se provádí v rozsahu jméno, příjmení, datum narození, trvalý pobyt a u právnických osob v rozsahu název, IČO, sídlo, osoba oprávněná jednat </w:t>
      </w:r>
    </w:p>
    <w:p w:rsidR="00E267A1" w:rsidRDefault="00F70C55" w:rsidP="00E267A1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Účastník VŘ - fyzická osoba - musí prokázat s</w:t>
      </w:r>
      <w:r>
        <w:rPr>
          <w:rFonts w:ascii="Arial" w:hAnsi="Arial" w:cs="Arial"/>
          <w:szCs w:val="22"/>
        </w:rPr>
        <w:t>voji totožnost platným průkazem totožnosti, který při prezenci účastníků VŘ předloží k nahlédnutí. Pro účely VŘ se za průkaz totožnosti považuje</w:t>
      </w:r>
    </w:p>
    <w:p w:rsidR="00E267A1" w:rsidRDefault="00F70C55" w:rsidP="00E267A1">
      <w:pPr>
        <w:pStyle w:val="Zkladntext"/>
        <w:numPr>
          <w:ilvl w:val="0"/>
          <w:numId w:val="8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občanů České republiky občanský průkaz, pokud mají trvalé bydliště v zahraničí také cestovní pas;</w:t>
      </w:r>
    </w:p>
    <w:p w:rsidR="00E267A1" w:rsidRDefault="00F70C55" w:rsidP="00E267A1">
      <w:pPr>
        <w:pStyle w:val="Zkladntext"/>
        <w:numPr>
          <w:ilvl w:val="0"/>
          <w:numId w:val="8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zahraničn</w:t>
      </w:r>
      <w:r>
        <w:rPr>
          <w:rFonts w:ascii="Arial" w:hAnsi="Arial" w:cs="Arial"/>
          <w:szCs w:val="22"/>
        </w:rPr>
        <w:t>ích fyzických osob pouze cestovní doklad.</w:t>
      </w: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Účastník VŘ - právnická osoba - osoba nebo osoby oprávněné jednat a podepisovat jménem právnické osoby (dále jen „statutární orgán právnické osoby“) musí doložit, že jsou oprávněny jednat a podepisovat jménem této</w:t>
      </w:r>
      <w:r>
        <w:rPr>
          <w:rFonts w:ascii="Arial" w:hAnsi="Arial" w:cs="Arial"/>
          <w:szCs w:val="22"/>
        </w:rPr>
        <w:t xml:space="preserve"> právnické osoby výpisem z veřejného rejstříku, výpisem z jiného zákonem stanoveného rejstříku, v němž je právnická osoba zapsána, případně kopií písemné smlouvy nebo zakládací listiny, která prokazuje založení právnické osoby, způsob podepisování a případ</w:t>
      </w:r>
      <w:r>
        <w:rPr>
          <w:rFonts w:ascii="Arial" w:hAnsi="Arial" w:cs="Arial"/>
          <w:szCs w:val="22"/>
        </w:rPr>
        <w:t xml:space="preserve">né změny těchto údajů, nebo odkazem na zvláštní zákon, kterým právnická osoba vzniká. Statutární orgán právnické osoby prokazuje svoji totožnost podle </w:t>
      </w: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Pr="00E267A1" w:rsidRDefault="00F70C55" w:rsidP="00E267A1">
      <w:pPr>
        <w:pStyle w:val="Zkladntext"/>
        <w:ind w:left="357"/>
        <w:rPr>
          <w:rFonts w:ascii="Arial" w:hAnsi="Arial" w:cs="Arial"/>
          <w:szCs w:val="22"/>
        </w:rPr>
      </w:pPr>
      <w:r w:rsidRPr="00E267A1">
        <w:rPr>
          <w:rFonts w:ascii="Arial" w:hAnsi="Arial" w:cs="Arial"/>
          <w:szCs w:val="22"/>
        </w:rPr>
        <w:t xml:space="preserve">odst. 3 tohoto článku. Pokud dojde ke změně statutárního orgánu právnické osoby a tato změna není </w:t>
      </w:r>
      <w:r w:rsidRPr="00E267A1">
        <w:rPr>
          <w:rFonts w:ascii="Arial" w:hAnsi="Arial" w:cs="Arial"/>
          <w:szCs w:val="22"/>
        </w:rPr>
        <w:t>dosud v rejstříku zapsána, může statutární orgán právnické osoby prokázat své oprávnění notářským zápisem nebo písemným čestným prohlášením.</w:t>
      </w: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Účastník VŘ - obec, kraj nebo hlavní město Praha - zástupce obce, kraje nebo hlavního města Prahy je povinen proká</w:t>
      </w:r>
      <w:r>
        <w:rPr>
          <w:rFonts w:ascii="Arial" w:hAnsi="Arial" w:cs="Arial"/>
          <w:szCs w:val="22"/>
        </w:rPr>
        <w:t>zat se listinou dokládající jeho oprávnění jednat jejich jménem ve VŘ a prokázat svoji totožnost podle odst. 3 tohoto článku. Obsah listiny musí splňovat náležitosti plné moci uvedené v odst. 6 tohoto článku.</w:t>
      </w: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Účastník VŘ se může při otevírání obálek a auk</w:t>
      </w:r>
      <w:r>
        <w:rPr>
          <w:rFonts w:ascii="Arial" w:hAnsi="Arial" w:cs="Arial"/>
          <w:szCs w:val="22"/>
        </w:rPr>
        <w:t>ci nechat zastoupit zmocněncem. Tento zmocněnec musí předložit při prezenci účastníků VŘ plnou moc udělenou účastníkem VŘ a vlastnoručně podepsanou účastníkem VŘ nebo statutárním orgánem právnické osoby. V plné moci musí být nezpochybnitelným způsobem uved</w:t>
      </w:r>
      <w:r>
        <w:rPr>
          <w:rFonts w:ascii="Arial" w:hAnsi="Arial" w:cs="Arial"/>
          <w:szCs w:val="22"/>
        </w:rPr>
        <w:t>eno:</w:t>
      </w:r>
    </w:p>
    <w:p w:rsidR="00E267A1" w:rsidRDefault="00F70C55" w:rsidP="00E267A1">
      <w:pPr>
        <w:pStyle w:val="Zkladntext"/>
        <w:numPr>
          <w:ilvl w:val="0"/>
          <w:numId w:val="9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identifikace zastupovaného účastníka VŘ;</w:t>
      </w:r>
    </w:p>
    <w:p w:rsidR="00E267A1" w:rsidRDefault="00F70C55" w:rsidP="00E267A1">
      <w:pPr>
        <w:pStyle w:val="Zkladntext"/>
        <w:numPr>
          <w:ilvl w:val="0"/>
          <w:numId w:val="9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VŘ, ve kterém zmocněnec účastníka VŘ zastupuje;</w:t>
      </w:r>
    </w:p>
    <w:p w:rsidR="00E267A1" w:rsidRDefault="00F70C55" w:rsidP="00E267A1">
      <w:pPr>
        <w:pStyle w:val="Zkladntext"/>
        <w:numPr>
          <w:ilvl w:val="0"/>
          <w:numId w:val="9"/>
        </w:numPr>
        <w:spacing w:before="60"/>
        <w:ind w:left="697" w:hanging="34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rozsah zmocnění. </w:t>
      </w:r>
    </w:p>
    <w:p w:rsidR="00E267A1" w:rsidRDefault="00F70C55" w:rsidP="00E267A1">
      <w:pPr>
        <w:pStyle w:val="Zkladntext"/>
        <w:rPr>
          <w:rFonts w:ascii="Arial" w:hAnsi="Arial" w:cs="Arial"/>
          <w:szCs w:val="22"/>
        </w:rPr>
      </w:pPr>
    </w:p>
    <w:p w:rsidR="00E267A1" w:rsidRDefault="00F70C55" w:rsidP="00E267A1">
      <w:pPr>
        <w:pStyle w:val="Zkladntext"/>
        <w:numPr>
          <w:ilvl w:val="0"/>
          <w:numId w:val="7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Při prezenci účastník VŘ sdělí a doloží, která jedna konkrétní osoba bude v aukci činit nabídky za manžele, osoby, které podaly společnou nabíd</w:t>
      </w:r>
      <w:r>
        <w:rPr>
          <w:rFonts w:ascii="Arial" w:hAnsi="Arial" w:cs="Arial"/>
          <w:szCs w:val="22"/>
        </w:rPr>
        <w:t>ku, právnické osoby nebo obce, kraje či hlavní město Prahu.</w:t>
      </w:r>
    </w:p>
    <w:p w:rsidR="00E267A1" w:rsidRDefault="00F70C55" w:rsidP="00E267A1">
      <w:pPr>
        <w:pStyle w:val="Zkladntext"/>
        <w:jc w:val="center"/>
        <w:rPr>
          <w:rFonts w:ascii="Arial" w:hAnsi="Arial" w:cs="Arial"/>
          <w:bCs/>
          <w:szCs w:val="22"/>
        </w:rPr>
      </w:pPr>
    </w:p>
    <w:p w:rsidR="00E267A1" w:rsidRDefault="00F70C55" w:rsidP="00E267A1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Čl. 5 </w:t>
      </w:r>
    </w:p>
    <w:p w:rsidR="00E267A1" w:rsidRDefault="00F70C55" w:rsidP="00E267A1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Práva a povinnosti Úřadu a nájemce</w:t>
      </w:r>
    </w:p>
    <w:p w:rsidR="00E267A1" w:rsidRDefault="00F70C55" w:rsidP="00E267A1">
      <w:pPr>
        <w:pStyle w:val="Zkladntext"/>
        <w:jc w:val="center"/>
        <w:rPr>
          <w:rFonts w:ascii="Arial" w:hAnsi="Arial" w:cs="Arial"/>
          <w:bCs/>
          <w:szCs w:val="22"/>
        </w:rPr>
      </w:pPr>
    </w:p>
    <w:p w:rsidR="00E267A1" w:rsidRDefault="00F70C55" w:rsidP="00E267A1">
      <w:pPr>
        <w:numPr>
          <w:ilvl w:val="0"/>
          <w:numId w:val="10"/>
        </w:numPr>
        <w:tabs>
          <w:tab w:val="num" w:pos="284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Práva a povinnosti vyplývající pro Úřad a nájemce z konkrétního VŘ jsou individuálně upraveny ve  smlouvě o nájmu majetku, která je nedílnou součástí Oznámení o VŘ.</w:t>
      </w:r>
    </w:p>
    <w:p w:rsidR="00E267A1" w:rsidRDefault="00F70C55" w:rsidP="00E267A1">
      <w:pPr>
        <w:jc w:val="both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numPr>
          <w:ilvl w:val="0"/>
          <w:numId w:val="10"/>
        </w:numPr>
        <w:tabs>
          <w:tab w:val="num" w:pos="284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Nájemce je mimo jiné povinen platně podepsat smlouvu o nájmu majetku (z toho jeden výtis</w:t>
      </w:r>
      <w:r>
        <w:rPr>
          <w:rFonts w:ascii="Arial" w:hAnsi="Arial" w:cs="Arial"/>
          <w:sz w:val="22"/>
          <w:szCs w:val="22"/>
        </w:rPr>
        <w:t>k s ověřeným podpisem u fyzických osob a je-li třeba u právnických osob) a doručit ji na příslušné pracoviště Úřadu ve lhůtě stanovené Úřadem, která bude zpravidla 30 kalendářních dnů.</w:t>
      </w:r>
    </w:p>
    <w:p w:rsidR="00E267A1" w:rsidRDefault="00F70C55" w:rsidP="00E267A1">
      <w:pPr>
        <w:ind w:left="357"/>
        <w:jc w:val="both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numPr>
          <w:ilvl w:val="0"/>
          <w:numId w:val="10"/>
        </w:numPr>
        <w:tabs>
          <w:tab w:val="num" w:pos="284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Nejpozději do 14 kalendářních dnů od doručení všech výtisků smlouvy podepsaných nájemcem zajistí Úřad podpis smlouvy ze své strany. </w:t>
      </w:r>
    </w:p>
    <w:p w:rsidR="00E267A1" w:rsidRDefault="00F70C55" w:rsidP="00E267A1">
      <w:pPr>
        <w:jc w:val="both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numPr>
          <w:ilvl w:val="0"/>
          <w:numId w:val="10"/>
        </w:numPr>
        <w:tabs>
          <w:tab w:val="num" w:pos="284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Po nabytí platnosti smlouvy je nájemce povinen zaplatit Úřadu nabídnuté nájemné v plné výši, a to do konkrétně určeného </w:t>
      </w:r>
      <w:r>
        <w:rPr>
          <w:rFonts w:ascii="Arial" w:hAnsi="Arial" w:cs="Arial"/>
          <w:sz w:val="22"/>
          <w:szCs w:val="22"/>
        </w:rPr>
        <w:t>data. Nájemné se považuje za zaplacené dnem, kdy je připsáno na účet Úřadu. Kauce složená kupujícím v rámci VŘ na účet Úřadu se započte na úhradu nájemného a příjmem státního rozpočtu ve smyslu ustanovení § 45 odst. 10 zákona č. 218/2000 Sb., ve znění pozd</w:t>
      </w:r>
      <w:r>
        <w:rPr>
          <w:rFonts w:ascii="Arial" w:hAnsi="Arial" w:cs="Arial"/>
          <w:sz w:val="22"/>
          <w:szCs w:val="22"/>
        </w:rPr>
        <w:t>ějších předpisů,  se stane dnem odeslání výzvy k úhradě doplatku nájemného.</w:t>
      </w:r>
    </w:p>
    <w:p w:rsidR="00E267A1" w:rsidRDefault="00F70C55" w:rsidP="00E267A1">
      <w:pPr>
        <w:jc w:val="both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numPr>
          <w:ilvl w:val="0"/>
          <w:numId w:val="10"/>
        </w:numPr>
        <w:tabs>
          <w:tab w:val="num" w:pos="284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V případě, že nájemce nesplní kteroukoli ze svých povinností uvedených v odst. 2 a 4 tohoto článku, nebo pokud dá nájemce jasně najevo, že  smlouvu o nájmu majetku nemíní podeps</w:t>
      </w:r>
      <w:r>
        <w:rPr>
          <w:rFonts w:ascii="Arial" w:hAnsi="Arial" w:cs="Arial"/>
          <w:sz w:val="22"/>
          <w:szCs w:val="22"/>
        </w:rPr>
        <w:t>at, nebo pokud pronajímatel od smlouvy odstoupí, může být vyzván k jednání účastník VŘ, který se umístil na druhém místě, pokud jím nabídnuté nájemné není nižší než 90 % nájemného nabídnutého účastníkem prvním v pořadí.</w:t>
      </w:r>
    </w:p>
    <w:p w:rsidR="00E267A1" w:rsidRDefault="00F70C55" w:rsidP="00E267A1">
      <w:pPr>
        <w:jc w:val="both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numPr>
          <w:ilvl w:val="0"/>
          <w:numId w:val="10"/>
        </w:numPr>
        <w:tabs>
          <w:tab w:val="num" w:pos="284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V případě nabídky do VŘ podané obc</w:t>
      </w:r>
      <w:r>
        <w:rPr>
          <w:rFonts w:ascii="Arial" w:hAnsi="Arial" w:cs="Arial"/>
          <w:sz w:val="22"/>
          <w:szCs w:val="22"/>
        </w:rPr>
        <w:t>í, krajem nebo hlavním městem Prahou musí být nejpozději ke dni podpisu smlouvy o nájmu majetku nájemcem doloženo schválení právního jednání orgánem obce, kraje nebo hlavního města Prahy dle zákonů č. 128/2000 Sb., o obcích (obecní zřízení), č. 129/2000 Sb</w:t>
      </w:r>
      <w:r>
        <w:rPr>
          <w:rFonts w:ascii="Arial" w:hAnsi="Arial" w:cs="Arial"/>
          <w:sz w:val="22"/>
          <w:szCs w:val="22"/>
        </w:rPr>
        <w:t>. o krajích (krajské zřízení) a č. 131/2000 Sb., o hlavním městě Praze, vše ve znění pozdějších předpisů.</w:t>
      </w:r>
    </w:p>
    <w:p w:rsidR="00E267A1" w:rsidRDefault="00F70C55" w:rsidP="00E267A1">
      <w:pPr>
        <w:jc w:val="center"/>
        <w:rPr>
          <w:rFonts w:ascii="Arial" w:hAnsi="Arial" w:cs="Arial"/>
          <w:sz w:val="22"/>
          <w:szCs w:val="22"/>
        </w:rPr>
      </w:pPr>
    </w:p>
    <w:p w:rsidR="00E267A1" w:rsidRDefault="00F70C55" w:rsidP="00E267A1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E267A1" w:rsidRDefault="00F70C55" w:rsidP="00E267A1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E267A1" w:rsidRDefault="00F70C55" w:rsidP="00E267A1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E267A1" w:rsidRDefault="00F70C55" w:rsidP="00E267A1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E267A1" w:rsidRDefault="00F70C55" w:rsidP="00E267A1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Čl. 6</w:t>
      </w:r>
    </w:p>
    <w:p w:rsidR="00E267A1" w:rsidRDefault="00F70C55" w:rsidP="00E267A1">
      <w:pPr>
        <w:pStyle w:val="Zkladntext"/>
        <w:jc w:val="center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bCs/>
          <w:szCs w:val="22"/>
        </w:rPr>
        <w:t>Závěrečná ustanovení</w:t>
      </w:r>
    </w:p>
    <w:p w:rsidR="00E267A1" w:rsidRDefault="00F70C55" w:rsidP="00E267A1">
      <w:pPr>
        <w:pStyle w:val="Normlnweb"/>
        <w:spacing w:before="0" w:beforeAutospacing="0" w:after="0" w:afterAutospacing="0"/>
        <w:jc w:val="center"/>
        <w:rPr>
          <w:rFonts w:ascii="Arial" w:eastAsia="Times New Roman" w:hAnsi="Arial" w:cs="Arial"/>
          <w:sz w:val="22"/>
          <w:szCs w:val="22"/>
        </w:rPr>
      </w:pPr>
    </w:p>
    <w:p w:rsidR="00E267A1" w:rsidRDefault="00F70C55" w:rsidP="00E267A1">
      <w:pPr>
        <w:pStyle w:val="Normlnweb"/>
        <w:numPr>
          <w:ilvl w:val="0"/>
          <w:numId w:val="11"/>
        </w:numPr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Úřad si vyhrazuje právo zrušit VŘ bez udání důvodu a dále odmítnout všechny předložené návrhy, a to až do doby podpis</w:t>
      </w:r>
      <w:r>
        <w:rPr>
          <w:rFonts w:ascii="Arial" w:eastAsia="Times New Roman" w:hAnsi="Arial" w:cs="Arial"/>
          <w:sz w:val="22"/>
          <w:szCs w:val="22"/>
        </w:rPr>
        <w:t xml:space="preserve">u smlouvy o nájmu majetku ze své strany. Úřad VŘ zruší, pokud dosavadní nájemce nevyklidí a nepředá pronajímateli pronajímaný majetek. Zrušení VŘ se nepovažuje za jednání ve smyslu ustanovení § 1729 odst. 1 </w:t>
      </w:r>
      <w:r>
        <w:rPr>
          <w:rFonts w:ascii="Arial" w:hAnsi="Arial" w:cs="Arial"/>
          <w:sz w:val="22"/>
          <w:szCs w:val="22"/>
        </w:rPr>
        <w:t>NOZ</w:t>
      </w:r>
      <w:r>
        <w:rPr>
          <w:rFonts w:ascii="Arial" w:eastAsia="Times New Roman" w:hAnsi="Arial" w:cs="Arial"/>
          <w:sz w:val="22"/>
          <w:szCs w:val="22"/>
        </w:rPr>
        <w:t xml:space="preserve"> a účastník VŘ nemá právo na náhradu škody ve </w:t>
      </w:r>
      <w:r>
        <w:rPr>
          <w:rFonts w:ascii="Arial" w:eastAsia="Times New Roman" w:hAnsi="Arial" w:cs="Arial"/>
          <w:sz w:val="22"/>
          <w:szCs w:val="22"/>
        </w:rPr>
        <w:t xml:space="preserve">smyslu ustanovení § 1729 odst. 2 </w:t>
      </w:r>
      <w:r>
        <w:rPr>
          <w:rFonts w:ascii="Arial" w:hAnsi="Arial" w:cs="Arial"/>
          <w:sz w:val="22"/>
          <w:szCs w:val="22"/>
        </w:rPr>
        <w:t>NOZ</w:t>
      </w:r>
      <w:r>
        <w:rPr>
          <w:rFonts w:ascii="Arial" w:eastAsia="Times New Roman" w:hAnsi="Arial" w:cs="Arial"/>
          <w:sz w:val="22"/>
          <w:szCs w:val="22"/>
        </w:rPr>
        <w:t>.</w:t>
      </w:r>
    </w:p>
    <w:p w:rsidR="00E267A1" w:rsidRDefault="00F70C55" w:rsidP="00E267A1">
      <w:pPr>
        <w:pStyle w:val="Normlnweb"/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</w:p>
    <w:p w:rsidR="00E267A1" w:rsidRDefault="00F70C55" w:rsidP="00E267A1">
      <w:pPr>
        <w:pStyle w:val="Normlnweb"/>
        <w:numPr>
          <w:ilvl w:val="0"/>
          <w:numId w:val="11"/>
        </w:numPr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Zrušení VŘ před skončením lhůty pro podání nabídek Úřad uveřejní stejným způsobem, kterým vyhlásil Oznámení o VŘ a jeho podmínkách, včetně lhůt.</w:t>
      </w:r>
    </w:p>
    <w:p w:rsidR="00E267A1" w:rsidRDefault="00F70C55" w:rsidP="00E267A1">
      <w:pPr>
        <w:pStyle w:val="Normlnweb"/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</w:p>
    <w:p w:rsidR="00E267A1" w:rsidRDefault="00F70C55" w:rsidP="00E267A1">
      <w:pPr>
        <w:pStyle w:val="Normlnweb"/>
        <w:numPr>
          <w:ilvl w:val="0"/>
          <w:numId w:val="11"/>
        </w:numPr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Účastníci VŘ nemají nárok na náhradu nákladů spojených s účastí ve VŘ, </w:t>
      </w:r>
      <w:r>
        <w:rPr>
          <w:rFonts w:ascii="Arial" w:eastAsia="Times New Roman" w:hAnsi="Arial" w:cs="Arial"/>
          <w:sz w:val="22"/>
          <w:szCs w:val="22"/>
        </w:rPr>
        <w:t>uzavřením smlouvy o nájmu majetku a realizací přenechání pronajímaného majetku do užívání.</w:t>
      </w:r>
    </w:p>
    <w:p w:rsidR="00E267A1" w:rsidRDefault="00F70C55" w:rsidP="00E267A1">
      <w:pPr>
        <w:pStyle w:val="Normlnweb"/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</w:p>
    <w:p w:rsidR="00E267A1" w:rsidRDefault="00F70C55" w:rsidP="00E267A1">
      <w:pPr>
        <w:pStyle w:val="Normlnweb"/>
        <w:numPr>
          <w:ilvl w:val="0"/>
          <w:numId w:val="11"/>
        </w:numPr>
        <w:tabs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Všechny dokumenty, odesílané Úřadem dle tohoto Oznámení, budou zasílány poštou doporučeně s dodejkou do vlastních rukou na adresy pro doručování uvedené v nabídce, </w:t>
      </w:r>
      <w:r>
        <w:rPr>
          <w:rFonts w:ascii="Arial" w:eastAsia="Times New Roman" w:hAnsi="Arial" w:cs="Arial"/>
          <w:sz w:val="22"/>
          <w:szCs w:val="22"/>
        </w:rPr>
        <w:t>nebo v případě elektronického doručování prostřednictvím datových schránek na elektronické adresy uvedené v nabídce. V případě, že tyto dokumenty budou provozovatelem poštovních služeb vráceny Úřadu jako nedoručené, považuje se za den doručení takové zásil</w:t>
      </w:r>
      <w:r>
        <w:rPr>
          <w:rFonts w:ascii="Arial" w:eastAsia="Times New Roman" w:hAnsi="Arial" w:cs="Arial"/>
          <w:sz w:val="22"/>
          <w:szCs w:val="22"/>
        </w:rPr>
        <w:t>ky třetí pracovní den po odeslání. Doručení do datové schránky se řídí ustanoveními zákona č. 300/2008 Sb., o elektronických úkonech a autorizované konverzi dokumentů, ve znění pozdějších předpisů.</w:t>
      </w:r>
    </w:p>
    <w:p w:rsidR="00E267A1" w:rsidRDefault="00F70C55" w:rsidP="00E267A1">
      <w:pPr>
        <w:tabs>
          <w:tab w:val="num" w:pos="426"/>
        </w:tabs>
        <w:ind w:left="426" w:hanging="426"/>
        <w:jc w:val="both"/>
        <w:rPr>
          <w:rFonts w:ascii="Arial" w:eastAsia="Calibri" w:hAnsi="Arial" w:cs="Arial"/>
          <w:sz w:val="22"/>
          <w:szCs w:val="22"/>
        </w:rPr>
      </w:pPr>
    </w:p>
    <w:p w:rsidR="00E267A1" w:rsidRDefault="00F70C55" w:rsidP="00E267A1">
      <w:pPr>
        <w:numPr>
          <w:ilvl w:val="0"/>
          <w:numId w:val="11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Podléhá-li smlouva o nájmu majetku uveřejnění v registru </w:t>
      </w:r>
      <w:r>
        <w:rPr>
          <w:rFonts w:ascii="Arial" w:hAnsi="Arial" w:cs="Arial"/>
          <w:sz w:val="22"/>
          <w:szCs w:val="22"/>
        </w:rPr>
        <w:t>smluv podle zákona č. 340/2015 Sb., o zvláštních podmínkách účinnosti některých smluv, uveřejňování těchto smluv a o registru smluv (zákon o registru smluv), uveřejňuje smlouvu o nájmu majetku v registru smluv Úřad.</w:t>
      </w:r>
    </w:p>
    <w:p w:rsidR="00E267A1" w:rsidRDefault="00F70C55" w:rsidP="00E267A1">
      <w:pPr>
        <w:rPr>
          <w:rFonts w:ascii="Arial" w:hAnsi="Arial" w:cs="Arial"/>
          <w:sz w:val="22"/>
          <w:szCs w:val="22"/>
        </w:rPr>
      </w:pPr>
    </w:p>
    <w:p w:rsidR="00E267A1" w:rsidRDefault="00F70C55" w:rsidP="00E267A1"/>
    <w:p w:rsidR="00E267A1" w:rsidRDefault="00F70C55" w:rsidP="00E267A1"/>
    <w:p w:rsidR="00E267A1" w:rsidRPr="00A43C1C" w:rsidRDefault="00F70C55" w:rsidP="006B5A0C">
      <w:pPr>
        <w:rPr>
          <w:rFonts w:ascii="Arial" w:hAnsi="Arial" w:cs="Arial"/>
          <w:sz w:val="22"/>
          <w:szCs w:val="22"/>
        </w:rPr>
      </w:pPr>
    </w:p>
    <w:sectPr w:rsidR="00E267A1" w:rsidRPr="00A43C1C" w:rsidSect="00345881">
      <w:pgSz w:w="11906" w:h="16838"/>
      <w:pgMar w:top="851" w:right="1134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40E"/>
    <w:multiLevelType w:val="hybridMultilevel"/>
    <w:tmpl w:val="FDA08198"/>
    <w:lvl w:ilvl="0" w:tplc="E348DA76">
      <w:start w:val="1"/>
      <w:numFmt w:val="decimal"/>
      <w:lvlText w:val="%1."/>
      <w:lvlJc w:val="left"/>
      <w:pPr>
        <w:ind w:left="99" w:hanging="360"/>
      </w:pPr>
    </w:lvl>
    <w:lvl w:ilvl="1" w:tplc="8F345B2E">
      <w:start w:val="1"/>
      <w:numFmt w:val="lowerLetter"/>
      <w:lvlText w:val="%2."/>
      <w:lvlJc w:val="left"/>
      <w:pPr>
        <w:ind w:left="819" w:hanging="360"/>
      </w:pPr>
    </w:lvl>
    <w:lvl w:ilvl="2" w:tplc="87B48B64">
      <w:start w:val="1"/>
      <w:numFmt w:val="lowerRoman"/>
      <w:lvlText w:val="%3."/>
      <w:lvlJc w:val="right"/>
      <w:pPr>
        <w:ind w:left="1539" w:hanging="180"/>
      </w:pPr>
    </w:lvl>
    <w:lvl w:ilvl="3" w:tplc="F6F2541A">
      <w:start w:val="1"/>
      <w:numFmt w:val="decimal"/>
      <w:lvlText w:val="%4."/>
      <w:lvlJc w:val="left"/>
      <w:pPr>
        <w:ind w:left="2259" w:hanging="360"/>
      </w:pPr>
    </w:lvl>
    <w:lvl w:ilvl="4" w:tplc="DC2881C2">
      <w:start w:val="1"/>
      <w:numFmt w:val="lowerLetter"/>
      <w:lvlText w:val="%5."/>
      <w:lvlJc w:val="left"/>
      <w:pPr>
        <w:ind w:left="2979" w:hanging="360"/>
      </w:pPr>
    </w:lvl>
    <w:lvl w:ilvl="5" w:tplc="57EC7E04">
      <w:start w:val="1"/>
      <w:numFmt w:val="lowerRoman"/>
      <w:lvlText w:val="%6."/>
      <w:lvlJc w:val="right"/>
      <w:pPr>
        <w:ind w:left="3699" w:hanging="180"/>
      </w:pPr>
    </w:lvl>
    <w:lvl w:ilvl="6" w:tplc="BD46C688">
      <w:start w:val="1"/>
      <w:numFmt w:val="decimal"/>
      <w:lvlText w:val="%7."/>
      <w:lvlJc w:val="left"/>
      <w:pPr>
        <w:ind w:left="4419" w:hanging="360"/>
      </w:pPr>
    </w:lvl>
    <w:lvl w:ilvl="7" w:tplc="D39C84D8">
      <w:start w:val="1"/>
      <w:numFmt w:val="lowerLetter"/>
      <w:lvlText w:val="%8."/>
      <w:lvlJc w:val="left"/>
      <w:pPr>
        <w:ind w:left="5139" w:hanging="360"/>
      </w:pPr>
    </w:lvl>
    <w:lvl w:ilvl="8" w:tplc="C1403D76">
      <w:start w:val="1"/>
      <w:numFmt w:val="lowerRoman"/>
      <w:lvlText w:val="%9."/>
      <w:lvlJc w:val="right"/>
      <w:pPr>
        <w:ind w:left="5859" w:hanging="180"/>
      </w:pPr>
    </w:lvl>
  </w:abstractNum>
  <w:abstractNum w:abstractNumId="1">
    <w:nsid w:val="172E651B"/>
    <w:multiLevelType w:val="hybridMultilevel"/>
    <w:tmpl w:val="FB2EE1AE"/>
    <w:lvl w:ilvl="0" w:tplc="D93C56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5A6C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0A061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CE2F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9E229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186D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1291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3EF48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32D6F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F96743"/>
    <w:multiLevelType w:val="hybridMultilevel"/>
    <w:tmpl w:val="95903C00"/>
    <w:lvl w:ilvl="0" w:tplc="529C8C9C">
      <w:start w:val="1"/>
      <w:numFmt w:val="lowerLetter"/>
      <w:lvlText w:val="%1)"/>
      <w:lvlJc w:val="left"/>
      <w:pPr>
        <w:ind w:left="644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A6B03B22">
      <w:start w:val="1"/>
      <w:numFmt w:val="lowerLetter"/>
      <w:lvlText w:val="%2."/>
      <w:lvlJc w:val="left"/>
      <w:pPr>
        <w:ind w:left="1440" w:hanging="360"/>
      </w:pPr>
    </w:lvl>
    <w:lvl w:ilvl="2" w:tplc="D3AC2752">
      <w:start w:val="1"/>
      <w:numFmt w:val="lowerRoman"/>
      <w:lvlText w:val="%3."/>
      <w:lvlJc w:val="right"/>
      <w:pPr>
        <w:ind w:left="2160" w:hanging="180"/>
      </w:pPr>
    </w:lvl>
    <w:lvl w:ilvl="3" w:tplc="D4988318">
      <w:start w:val="1"/>
      <w:numFmt w:val="decimal"/>
      <w:lvlText w:val="%4."/>
      <w:lvlJc w:val="left"/>
      <w:pPr>
        <w:ind w:left="2880" w:hanging="360"/>
      </w:pPr>
    </w:lvl>
    <w:lvl w:ilvl="4" w:tplc="9BF0E6B4">
      <w:start w:val="1"/>
      <w:numFmt w:val="lowerLetter"/>
      <w:lvlText w:val="%5."/>
      <w:lvlJc w:val="left"/>
      <w:pPr>
        <w:ind w:left="3600" w:hanging="360"/>
      </w:pPr>
    </w:lvl>
    <w:lvl w:ilvl="5" w:tplc="26EEE4EE">
      <w:start w:val="1"/>
      <w:numFmt w:val="lowerRoman"/>
      <w:lvlText w:val="%6."/>
      <w:lvlJc w:val="right"/>
      <w:pPr>
        <w:ind w:left="4320" w:hanging="180"/>
      </w:pPr>
    </w:lvl>
    <w:lvl w:ilvl="6" w:tplc="13143240">
      <w:start w:val="1"/>
      <w:numFmt w:val="decimal"/>
      <w:lvlText w:val="%7."/>
      <w:lvlJc w:val="left"/>
      <w:pPr>
        <w:ind w:left="5040" w:hanging="360"/>
      </w:pPr>
    </w:lvl>
    <w:lvl w:ilvl="7" w:tplc="2996B9A4">
      <w:start w:val="1"/>
      <w:numFmt w:val="lowerLetter"/>
      <w:lvlText w:val="%8."/>
      <w:lvlJc w:val="left"/>
      <w:pPr>
        <w:ind w:left="5760" w:hanging="360"/>
      </w:pPr>
    </w:lvl>
    <w:lvl w:ilvl="8" w:tplc="3A4A9AC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26154"/>
    <w:multiLevelType w:val="hybridMultilevel"/>
    <w:tmpl w:val="3814A844"/>
    <w:lvl w:ilvl="0" w:tplc="15EE99B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9370BCA0">
      <w:start w:val="1"/>
      <w:numFmt w:val="lowerLetter"/>
      <w:lvlText w:val="%2."/>
      <w:lvlJc w:val="left"/>
      <w:pPr>
        <w:ind w:left="1440" w:hanging="360"/>
      </w:pPr>
    </w:lvl>
    <w:lvl w:ilvl="2" w:tplc="C0D8982C">
      <w:start w:val="1"/>
      <w:numFmt w:val="lowerRoman"/>
      <w:lvlText w:val="%3."/>
      <w:lvlJc w:val="right"/>
      <w:pPr>
        <w:ind w:left="2160" w:hanging="180"/>
      </w:pPr>
    </w:lvl>
    <w:lvl w:ilvl="3" w:tplc="7D0230E2">
      <w:start w:val="1"/>
      <w:numFmt w:val="decimal"/>
      <w:lvlText w:val="%4."/>
      <w:lvlJc w:val="left"/>
      <w:pPr>
        <w:ind w:left="2880" w:hanging="360"/>
      </w:pPr>
    </w:lvl>
    <w:lvl w:ilvl="4" w:tplc="B0FAFF58">
      <w:start w:val="1"/>
      <w:numFmt w:val="lowerLetter"/>
      <w:lvlText w:val="%5."/>
      <w:lvlJc w:val="left"/>
      <w:pPr>
        <w:ind w:left="3600" w:hanging="360"/>
      </w:pPr>
    </w:lvl>
    <w:lvl w:ilvl="5" w:tplc="5D0AD5CA">
      <w:start w:val="1"/>
      <w:numFmt w:val="lowerRoman"/>
      <w:lvlText w:val="%6."/>
      <w:lvlJc w:val="right"/>
      <w:pPr>
        <w:ind w:left="4320" w:hanging="180"/>
      </w:pPr>
    </w:lvl>
    <w:lvl w:ilvl="6" w:tplc="6538869A">
      <w:start w:val="1"/>
      <w:numFmt w:val="decimal"/>
      <w:lvlText w:val="%7."/>
      <w:lvlJc w:val="left"/>
      <w:pPr>
        <w:ind w:left="5040" w:hanging="360"/>
      </w:pPr>
    </w:lvl>
    <w:lvl w:ilvl="7" w:tplc="214A92BE">
      <w:start w:val="1"/>
      <w:numFmt w:val="lowerLetter"/>
      <w:lvlText w:val="%8."/>
      <w:lvlJc w:val="left"/>
      <w:pPr>
        <w:ind w:left="5760" w:hanging="360"/>
      </w:pPr>
    </w:lvl>
    <w:lvl w:ilvl="8" w:tplc="31B445D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C07C6"/>
    <w:multiLevelType w:val="hybridMultilevel"/>
    <w:tmpl w:val="215AF21E"/>
    <w:lvl w:ilvl="0" w:tplc="3594D548">
      <w:start w:val="1"/>
      <w:numFmt w:val="decimal"/>
      <w:lvlText w:val="%1."/>
      <w:lvlJc w:val="left"/>
      <w:pPr>
        <w:ind w:left="99" w:hanging="360"/>
      </w:pPr>
    </w:lvl>
    <w:lvl w:ilvl="1" w:tplc="A26EBE36">
      <w:start w:val="1"/>
      <w:numFmt w:val="lowerLetter"/>
      <w:lvlText w:val="%2."/>
      <w:lvlJc w:val="left"/>
      <w:pPr>
        <w:ind w:left="819" w:hanging="360"/>
      </w:pPr>
    </w:lvl>
    <w:lvl w:ilvl="2" w:tplc="BBCC1F5C">
      <w:start w:val="1"/>
      <w:numFmt w:val="lowerRoman"/>
      <w:lvlText w:val="%3."/>
      <w:lvlJc w:val="right"/>
      <w:pPr>
        <w:ind w:left="1539" w:hanging="180"/>
      </w:pPr>
    </w:lvl>
    <w:lvl w:ilvl="3" w:tplc="63ECBA3C">
      <w:start w:val="1"/>
      <w:numFmt w:val="decimal"/>
      <w:lvlText w:val="%4."/>
      <w:lvlJc w:val="left"/>
      <w:pPr>
        <w:ind w:left="2259" w:hanging="360"/>
      </w:pPr>
    </w:lvl>
    <w:lvl w:ilvl="4" w:tplc="3C28542C">
      <w:start w:val="1"/>
      <w:numFmt w:val="lowerLetter"/>
      <w:lvlText w:val="%5."/>
      <w:lvlJc w:val="left"/>
      <w:pPr>
        <w:ind w:left="2979" w:hanging="360"/>
      </w:pPr>
    </w:lvl>
    <w:lvl w:ilvl="5" w:tplc="8920049E">
      <w:start w:val="1"/>
      <w:numFmt w:val="lowerRoman"/>
      <w:lvlText w:val="%6."/>
      <w:lvlJc w:val="right"/>
      <w:pPr>
        <w:ind w:left="3699" w:hanging="180"/>
      </w:pPr>
    </w:lvl>
    <w:lvl w:ilvl="6" w:tplc="8DDA7E6C">
      <w:start w:val="1"/>
      <w:numFmt w:val="decimal"/>
      <w:lvlText w:val="%7."/>
      <w:lvlJc w:val="left"/>
      <w:pPr>
        <w:ind w:left="4419" w:hanging="360"/>
      </w:pPr>
    </w:lvl>
    <w:lvl w:ilvl="7" w:tplc="9D565E5A">
      <w:start w:val="1"/>
      <w:numFmt w:val="lowerLetter"/>
      <w:lvlText w:val="%8."/>
      <w:lvlJc w:val="left"/>
      <w:pPr>
        <w:ind w:left="5139" w:hanging="360"/>
      </w:pPr>
    </w:lvl>
    <w:lvl w:ilvl="8" w:tplc="1558410C">
      <w:start w:val="1"/>
      <w:numFmt w:val="lowerRoman"/>
      <w:lvlText w:val="%9."/>
      <w:lvlJc w:val="right"/>
      <w:pPr>
        <w:ind w:left="5859" w:hanging="180"/>
      </w:pPr>
    </w:lvl>
  </w:abstractNum>
  <w:abstractNum w:abstractNumId="5">
    <w:nsid w:val="2C26593E"/>
    <w:multiLevelType w:val="hybridMultilevel"/>
    <w:tmpl w:val="C6F41C18"/>
    <w:lvl w:ilvl="0" w:tplc="D952BC48">
      <w:start w:val="1"/>
      <w:numFmt w:val="lowerLetter"/>
      <w:lvlText w:val="%1)"/>
      <w:lvlJc w:val="left"/>
      <w:pPr>
        <w:ind w:left="720" w:hanging="360"/>
      </w:pPr>
    </w:lvl>
    <w:lvl w:ilvl="1" w:tplc="AEB834C2">
      <w:start w:val="1"/>
      <w:numFmt w:val="lowerLetter"/>
      <w:lvlText w:val="%2."/>
      <w:lvlJc w:val="left"/>
      <w:pPr>
        <w:ind w:left="1440" w:hanging="360"/>
      </w:pPr>
    </w:lvl>
    <w:lvl w:ilvl="2" w:tplc="61009200">
      <w:start w:val="1"/>
      <w:numFmt w:val="lowerRoman"/>
      <w:lvlText w:val="%3."/>
      <w:lvlJc w:val="right"/>
      <w:pPr>
        <w:ind w:left="2160" w:hanging="180"/>
      </w:pPr>
    </w:lvl>
    <w:lvl w:ilvl="3" w:tplc="9F286D9E">
      <w:start w:val="1"/>
      <w:numFmt w:val="decimal"/>
      <w:lvlText w:val="%4."/>
      <w:lvlJc w:val="left"/>
      <w:pPr>
        <w:ind w:left="2880" w:hanging="360"/>
      </w:pPr>
    </w:lvl>
    <w:lvl w:ilvl="4" w:tplc="DE341E90">
      <w:start w:val="1"/>
      <w:numFmt w:val="lowerLetter"/>
      <w:lvlText w:val="%5."/>
      <w:lvlJc w:val="left"/>
      <w:pPr>
        <w:ind w:left="3600" w:hanging="360"/>
      </w:pPr>
    </w:lvl>
    <w:lvl w:ilvl="5" w:tplc="F394270A">
      <w:start w:val="1"/>
      <w:numFmt w:val="lowerRoman"/>
      <w:lvlText w:val="%6."/>
      <w:lvlJc w:val="right"/>
      <w:pPr>
        <w:ind w:left="4320" w:hanging="180"/>
      </w:pPr>
    </w:lvl>
    <w:lvl w:ilvl="6" w:tplc="02526144">
      <w:start w:val="1"/>
      <w:numFmt w:val="decimal"/>
      <w:lvlText w:val="%7."/>
      <w:lvlJc w:val="left"/>
      <w:pPr>
        <w:ind w:left="5040" w:hanging="360"/>
      </w:pPr>
    </w:lvl>
    <w:lvl w:ilvl="7" w:tplc="FDCC3366">
      <w:start w:val="1"/>
      <w:numFmt w:val="lowerLetter"/>
      <w:lvlText w:val="%8."/>
      <w:lvlJc w:val="left"/>
      <w:pPr>
        <w:ind w:left="5760" w:hanging="360"/>
      </w:pPr>
    </w:lvl>
    <w:lvl w:ilvl="8" w:tplc="18803B6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C37F73"/>
    <w:multiLevelType w:val="hybridMultilevel"/>
    <w:tmpl w:val="C00E6A62"/>
    <w:lvl w:ilvl="0" w:tplc="AA90E0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AA145AA2">
      <w:start w:val="1"/>
      <w:numFmt w:val="decimal"/>
      <w:lvlText w:val="%2."/>
      <w:lvlJc w:val="left"/>
      <w:pPr>
        <w:tabs>
          <w:tab w:val="num" w:pos="1590"/>
        </w:tabs>
        <w:ind w:left="1590" w:hanging="510"/>
      </w:pPr>
    </w:lvl>
    <w:lvl w:ilvl="2" w:tplc="51021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CA23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5082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47CB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8E49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3AC7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5E94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A5517D"/>
    <w:multiLevelType w:val="hybridMultilevel"/>
    <w:tmpl w:val="E30E4074"/>
    <w:lvl w:ilvl="0" w:tplc="182809D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DCEE1C68">
      <w:start w:val="1"/>
      <w:numFmt w:val="lowerLetter"/>
      <w:lvlText w:val="%2."/>
      <w:lvlJc w:val="left"/>
      <w:pPr>
        <w:ind w:left="1440" w:hanging="360"/>
      </w:pPr>
    </w:lvl>
    <w:lvl w:ilvl="2" w:tplc="0C1E2316">
      <w:start w:val="1"/>
      <w:numFmt w:val="lowerRoman"/>
      <w:lvlText w:val="%3."/>
      <w:lvlJc w:val="right"/>
      <w:pPr>
        <w:ind w:left="2160" w:hanging="180"/>
      </w:pPr>
    </w:lvl>
    <w:lvl w:ilvl="3" w:tplc="8FA2B212">
      <w:start w:val="1"/>
      <w:numFmt w:val="decimal"/>
      <w:lvlText w:val="%4."/>
      <w:lvlJc w:val="left"/>
      <w:pPr>
        <w:ind w:left="2880" w:hanging="360"/>
      </w:pPr>
    </w:lvl>
    <w:lvl w:ilvl="4" w:tplc="F4786A6C">
      <w:start w:val="1"/>
      <w:numFmt w:val="lowerLetter"/>
      <w:lvlText w:val="%5."/>
      <w:lvlJc w:val="left"/>
      <w:pPr>
        <w:ind w:left="3600" w:hanging="360"/>
      </w:pPr>
    </w:lvl>
    <w:lvl w:ilvl="5" w:tplc="3C04B356">
      <w:start w:val="1"/>
      <w:numFmt w:val="lowerRoman"/>
      <w:lvlText w:val="%6."/>
      <w:lvlJc w:val="right"/>
      <w:pPr>
        <w:ind w:left="4320" w:hanging="180"/>
      </w:pPr>
    </w:lvl>
    <w:lvl w:ilvl="6" w:tplc="9488B722">
      <w:start w:val="1"/>
      <w:numFmt w:val="decimal"/>
      <w:lvlText w:val="%7."/>
      <w:lvlJc w:val="left"/>
      <w:pPr>
        <w:ind w:left="5040" w:hanging="360"/>
      </w:pPr>
    </w:lvl>
    <w:lvl w:ilvl="7" w:tplc="06C640C4">
      <w:start w:val="1"/>
      <w:numFmt w:val="lowerLetter"/>
      <w:lvlText w:val="%8."/>
      <w:lvlJc w:val="left"/>
      <w:pPr>
        <w:ind w:left="5760" w:hanging="360"/>
      </w:pPr>
    </w:lvl>
    <w:lvl w:ilvl="8" w:tplc="2FC6171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6C3C8B"/>
    <w:multiLevelType w:val="hybridMultilevel"/>
    <w:tmpl w:val="B3AE8F40"/>
    <w:lvl w:ilvl="0" w:tplc="0E74D6FC">
      <w:start w:val="1"/>
      <w:numFmt w:val="bullet"/>
      <w:lvlText w:val="-"/>
      <w:lvlJc w:val="left"/>
      <w:pPr>
        <w:ind w:left="3108" w:hanging="360"/>
      </w:pPr>
      <w:rPr>
        <w:rFonts w:ascii="Arial" w:hAnsi="Arial" w:cs="Times New Roman" w:hint="default"/>
        <w:i w:val="0"/>
      </w:rPr>
    </w:lvl>
    <w:lvl w:ilvl="1" w:tplc="037ACC62">
      <w:start w:val="1"/>
      <w:numFmt w:val="lowerLetter"/>
      <w:lvlText w:val="%2."/>
      <w:lvlJc w:val="left"/>
      <w:pPr>
        <w:ind w:left="4449" w:hanging="360"/>
      </w:pPr>
    </w:lvl>
    <w:lvl w:ilvl="2" w:tplc="4426FB1C">
      <w:start w:val="1"/>
      <w:numFmt w:val="lowerRoman"/>
      <w:lvlText w:val="%3."/>
      <w:lvlJc w:val="right"/>
      <w:pPr>
        <w:ind w:left="5169" w:hanging="180"/>
      </w:pPr>
    </w:lvl>
    <w:lvl w:ilvl="3" w:tplc="EB56F474">
      <w:start w:val="1"/>
      <w:numFmt w:val="decimal"/>
      <w:lvlText w:val="%4."/>
      <w:lvlJc w:val="left"/>
      <w:pPr>
        <w:ind w:left="5889" w:hanging="360"/>
      </w:pPr>
    </w:lvl>
    <w:lvl w:ilvl="4" w:tplc="9184FA50">
      <w:start w:val="1"/>
      <w:numFmt w:val="lowerLetter"/>
      <w:lvlText w:val="%5."/>
      <w:lvlJc w:val="left"/>
      <w:pPr>
        <w:ind w:left="6609" w:hanging="360"/>
      </w:pPr>
    </w:lvl>
    <w:lvl w:ilvl="5" w:tplc="7F3CAEAE">
      <w:start w:val="1"/>
      <w:numFmt w:val="lowerRoman"/>
      <w:lvlText w:val="%6."/>
      <w:lvlJc w:val="right"/>
      <w:pPr>
        <w:ind w:left="7329" w:hanging="180"/>
      </w:pPr>
    </w:lvl>
    <w:lvl w:ilvl="6" w:tplc="D2B04F92">
      <w:start w:val="1"/>
      <w:numFmt w:val="decimal"/>
      <w:lvlText w:val="%7."/>
      <w:lvlJc w:val="left"/>
      <w:pPr>
        <w:ind w:left="8049" w:hanging="360"/>
      </w:pPr>
    </w:lvl>
    <w:lvl w:ilvl="7" w:tplc="0FB614B6">
      <w:start w:val="1"/>
      <w:numFmt w:val="lowerLetter"/>
      <w:lvlText w:val="%8."/>
      <w:lvlJc w:val="left"/>
      <w:pPr>
        <w:ind w:left="8769" w:hanging="360"/>
      </w:pPr>
    </w:lvl>
    <w:lvl w:ilvl="8" w:tplc="CC300D04">
      <w:start w:val="1"/>
      <w:numFmt w:val="lowerRoman"/>
      <w:lvlText w:val="%9."/>
      <w:lvlJc w:val="right"/>
      <w:pPr>
        <w:ind w:left="9489" w:hanging="180"/>
      </w:pPr>
    </w:lvl>
  </w:abstractNum>
  <w:abstractNum w:abstractNumId="9">
    <w:nsid w:val="7B8B61F5"/>
    <w:multiLevelType w:val="hybridMultilevel"/>
    <w:tmpl w:val="530439F8"/>
    <w:lvl w:ilvl="0" w:tplc="5CB4DA1C">
      <w:start w:val="1"/>
      <w:numFmt w:val="decimal"/>
      <w:lvlText w:val="%1."/>
      <w:lvlJc w:val="left"/>
      <w:pPr>
        <w:ind w:left="720" w:hanging="360"/>
      </w:pPr>
    </w:lvl>
    <w:lvl w:ilvl="1" w:tplc="FC32A492">
      <w:start w:val="1"/>
      <w:numFmt w:val="lowerLetter"/>
      <w:lvlText w:val="%2."/>
      <w:lvlJc w:val="left"/>
      <w:pPr>
        <w:ind w:left="1440" w:hanging="360"/>
      </w:pPr>
    </w:lvl>
    <w:lvl w:ilvl="2" w:tplc="000041A2">
      <w:start w:val="1"/>
      <w:numFmt w:val="lowerRoman"/>
      <w:lvlText w:val="%3."/>
      <w:lvlJc w:val="right"/>
      <w:pPr>
        <w:ind w:left="2160" w:hanging="180"/>
      </w:pPr>
    </w:lvl>
    <w:lvl w:ilvl="3" w:tplc="47642F08">
      <w:start w:val="1"/>
      <w:numFmt w:val="decimal"/>
      <w:lvlText w:val="%4."/>
      <w:lvlJc w:val="left"/>
      <w:pPr>
        <w:ind w:left="2880" w:hanging="360"/>
      </w:pPr>
    </w:lvl>
    <w:lvl w:ilvl="4" w:tplc="C1FA1BFA">
      <w:start w:val="1"/>
      <w:numFmt w:val="lowerLetter"/>
      <w:lvlText w:val="%5."/>
      <w:lvlJc w:val="left"/>
      <w:pPr>
        <w:ind w:left="3600" w:hanging="360"/>
      </w:pPr>
    </w:lvl>
    <w:lvl w:ilvl="5" w:tplc="8F52CCD8">
      <w:start w:val="1"/>
      <w:numFmt w:val="lowerRoman"/>
      <w:lvlText w:val="%6."/>
      <w:lvlJc w:val="right"/>
      <w:pPr>
        <w:ind w:left="4320" w:hanging="180"/>
      </w:pPr>
    </w:lvl>
    <w:lvl w:ilvl="6" w:tplc="0C16F690">
      <w:start w:val="1"/>
      <w:numFmt w:val="decimal"/>
      <w:lvlText w:val="%7."/>
      <w:lvlJc w:val="left"/>
      <w:pPr>
        <w:ind w:left="5040" w:hanging="360"/>
      </w:pPr>
    </w:lvl>
    <w:lvl w:ilvl="7" w:tplc="AEE89B66">
      <w:start w:val="1"/>
      <w:numFmt w:val="lowerLetter"/>
      <w:lvlText w:val="%8."/>
      <w:lvlJc w:val="left"/>
      <w:pPr>
        <w:ind w:left="5760" w:hanging="360"/>
      </w:pPr>
    </w:lvl>
    <w:lvl w:ilvl="8" w:tplc="16C2707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9C26FA"/>
    <w:multiLevelType w:val="hybridMultilevel"/>
    <w:tmpl w:val="F3BE8308"/>
    <w:lvl w:ilvl="0" w:tplc="F52C6286">
      <w:start w:val="1"/>
      <w:numFmt w:val="lowerLetter"/>
      <w:lvlText w:val="%1)"/>
      <w:lvlJc w:val="left"/>
      <w:pPr>
        <w:ind w:left="1077" w:hanging="360"/>
      </w:pPr>
    </w:lvl>
    <w:lvl w:ilvl="1" w:tplc="21CAB290">
      <w:start w:val="1"/>
      <w:numFmt w:val="lowerLetter"/>
      <w:lvlText w:val="%2."/>
      <w:lvlJc w:val="left"/>
      <w:pPr>
        <w:ind w:left="1797" w:hanging="360"/>
      </w:pPr>
    </w:lvl>
    <w:lvl w:ilvl="2" w:tplc="C1CEA0FE">
      <w:start w:val="1"/>
      <w:numFmt w:val="lowerRoman"/>
      <w:lvlText w:val="%3."/>
      <w:lvlJc w:val="right"/>
      <w:pPr>
        <w:ind w:left="2517" w:hanging="180"/>
      </w:pPr>
    </w:lvl>
    <w:lvl w:ilvl="3" w:tplc="BEFAFD6C">
      <w:start w:val="1"/>
      <w:numFmt w:val="decimal"/>
      <w:lvlText w:val="%4."/>
      <w:lvlJc w:val="left"/>
      <w:pPr>
        <w:ind w:left="3237" w:hanging="360"/>
      </w:pPr>
    </w:lvl>
    <w:lvl w:ilvl="4" w:tplc="E1EE0350">
      <w:start w:val="1"/>
      <w:numFmt w:val="lowerLetter"/>
      <w:lvlText w:val="%5."/>
      <w:lvlJc w:val="left"/>
      <w:pPr>
        <w:ind w:left="3957" w:hanging="360"/>
      </w:pPr>
    </w:lvl>
    <w:lvl w:ilvl="5" w:tplc="4F96A6F4">
      <w:start w:val="1"/>
      <w:numFmt w:val="lowerRoman"/>
      <w:lvlText w:val="%6."/>
      <w:lvlJc w:val="right"/>
      <w:pPr>
        <w:ind w:left="4677" w:hanging="180"/>
      </w:pPr>
    </w:lvl>
    <w:lvl w:ilvl="6" w:tplc="8854A016">
      <w:start w:val="1"/>
      <w:numFmt w:val="decimal"/>
      <w:lvlText w:val="%7."/>
      <w:lvlJc w:val="left"/>
      <w:pPr>
        <w:ind w:left="5397" w:hanging="360"/>
      </w:pPr>
    </w:lvl>
    <w:lvl w:ilvl="7" w:tplc="0E0C402E">
      <w:start w:val="1"/>
      <w:numFmt w:val="lowerLetter"/>
      <w:lvlText w:val="%8."/>
      <w:lvlJc w:val="left"/>
      <w:pPr>
        <w:ind w:left="6117" w:hanging="360"/>
      </w:pPr>
    </w:lvl>
    <w:lvl w:ilvl="8" w:tplc="B442F256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48"/>
    <w:rsid w:val="00BB6543"/>
    <w:rsid w:val="00F70C55"/>
    <w:rsid w:val="00FD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Normlnweb">
    <w:name w:val="Normal (Web)"/>
    <w:basedOn w:val="Normln"/>
    <w:semiHidden/>
    <w:unhideWhenUsed/>
    <w:rsid w:val="00E267A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kladntext">
    <w:name w:val="Body Text"/>
    <w:basedOn w:val="Normln"/>
    <w:link w:val="ZkladntextChar"/>
    <w:semiHidden/>
    <w:unhideWhenUsed/>
    <w:rsid w:val="00E267A1"/>
    <w:pPr>
      <w:jc w:val="both"/>
    </w:pPr>
    <w:rPr>
      <w:sz w:val="22"/>
    </w:rPr>
  </w:style>
  <w:style w:type="character" w:customStyle="1" w:styleId="ZkladntextChar">
    <w:name w:val="Základní text Char"/>
    <w:basedOn w:val="Standardnpsmoodstavce"/>
    <w:link w:val="Zkladntext"/>
    <w:semiHidden/>
    <w:rsid w:val="00E267A1"/>
    <w:rPr>
      <w:rFonts w:ascii="Times New Roman" w:eastAsia="Times New Roman" w:hAnsi="Times New Roman" w:cs="Times New Roman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267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Normlnweb">
    <w:name w:val="Normal (Web)"/>
    <w:basedOn w:val="Normln"/>
    <w:semiHidden/>
    <w:unhideWhenUsed/>
    <w:rsid w:val="00E267A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kladntext">
    <w:name w:val="Body Text"/>
    <w:basedOn w:val="Normln"/>
    <w:link w:val="ZkladntextChar"/>
    <w:semiHidden/>
    <w:unhideWhenUsed/>
    <w:rsid w:val="00E267A1"/>
    <w:pPr>
      <w:jc w:val="both"/>
    </w:pPr>
    <w:rPr>
      <w:sz w:val="22"/>
    </w:rPr>
  </w:style>
  <w:style w:type="character" w:customStyle="1" w:styleId="ZkladntextChar">
    <w:name w:val="Základní text Char"/>
    <w:basedOn w:val="Standardnpsmoodstavce"/>
    <w:link w:val="Zkladntext"/>
    <w:semiHidden/>
    <w:rsid w:val="00E267A1"/>
    <w:rPr>
      <w:rFonts w:ascii="Times New Roman" w:eastAsia="Times New Roman" w:hAnsi="Times New Roman" w:cs="Times New Roman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267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2657</Words>
  <Characters>15679</Characters>
  <Application>Microsoft Office Word</Application>
  <DocSecurity>0</DocSecurity>
  <Lines>130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18300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volfovaj1</cp:lastModifiedBy>
  <cp:revision>4</cp:revision>
  <cp:lastPrinted>2018-11-07T11:27:00Z</cp:lastPrinted>
  <dcterms:created xsi:type="dcterms:W3CDTF">2018-11-07T11:26:00Z</dcterms:created>
  <dcterms:modified xsi:type="dcterms:W3CDTF">2018-11-07T11:29:00Z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/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UZSVM/A/31062/2017-HMU2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VŘ s aukcí na pronájem Veleslavína</vt:lpwstr>
  </property>
  <property fmtid="{D5CDD505-2E9C-101B-9397-08002B2CF9AE}" pid="37" name="CUSTOM.VLASTNIK_CISLO_DS">
    <vt:lpwstr>96vaa2e</vt:lpwstr>
  </property>
  <property fmtid="{D5CDD505-2E9C-101B-9397-08002B2CF9AE}" pid="38" name="CUSTOM.VLASTNIK_FAX">
    <vt:lpwstr/>
  </property>
  <property fmtid="{D5CDD505-2E9C-101B-9397-08002B2CF9AE}" pid="39" name="CUSTOM.VLASTNIK_FUNKCE">
    <vt:lpwstr>referent</vt:lpwstr>
  </property>
  <property fmtid="{D5CDD505-2E9C-101B-9397-08002B2CF9AE}" pid="40" name="CUSTOM.VLASTNIK_JMENO">
    <vt:lpwstr>Volfová Jitka, Mgr.</vt:lpwstr>
  </property>
  <property fmtid="{D5CDD505-2E9C-101B-9397-08002B2CF9AE}" pid="41" name="CUSTOM.VLASTNIK_JMENO_TISK">
    <vt:lpwstr/>
  </property>
  <property fmtid="{D5CDD505-2E9C-101B-9397-08002B2CF9AE}" pid="42" name="CUSTOM.VLASTNIK_MAIL">
    <vt:lpwstr>Jitka.Volfova1@uzsvm.cz</vt:lpwstr>
  </property>
  <property fmtid="{D5CDD505-2E9C-101B-9397-08002B2CF9AE}" pid="43" name="CUSTOM.VLASTNIK_TELEFON">
    <vt:lpwstr>+420 225 776 608</vt:lpwstr>
  </property>
  <property fmtid="{D5CDD505-2E9C-101B-9397-08002B2CF9AE}" pid="44" name="CUSTOM.VYTVOREN_DNE">
    <vt:lpwstr>06.11.2018</vt:lpwstr>
  </property>
  <property fmtid="{D5CDD505-2E9C-101B-9397-08002B2CF9AE}" pid="45" name="KOD.KOD_CJ">
    <vt:lpwstr>UZSVM/A/49714/2018-HMU2</vt:lpwstr>
  </property>
  <property fmtid="{D5CDD505-2E9C-101B-9397-08002B2CF9AE}" pid="46" name="KOD.KOD_EVC">
    <vt:lpwstr>96028/A/2018-HMU2</vt:lpwstr>
  </property>
  <property fmtid="{D5CDD505-2E9C-101B-9397-08002B2CF9AE}" pid="47" name="KOD.KOD_EVC_BARCODE">
    <vt:lpwstr>µ#96028/A/2018-HMU2@r¸</vt:lpwstr>
  </property>
  <property fmtid="{D5CDD505-2E9C-101B-9397-08002B2CF9AE}" pid="48" name="KOD.KOD_IU_CODE">
    <vt:lpwstr>9325</vt:lpwstr>
  </property>
  <property fmtid="{D5CDD505-2E9C-101B-9397-08002B2CF9AE}" pid="49" name="KOD.KOD_IU_SHORT">
    <vt:lpwstr>HMU2</vt:lpwstr>
  </property>
  <property fmtid="{D5CDD505-2E9C-101B-9397-08002B2CF9AE}" pid="50" name="KOD.KOD_IU_TXT">
    <vt:lpwstr>oddělení Hospodaření s majetkem v účetnictví II.</vt:lpwstr>
  </property>
  <property fmtid="{D5CDD505-2E9C-101B-9397-08002B2CF9AE}" pid="51" name="KOD.OBJECT_GUID">
    <vt:lpwstr>9a257d14-63d8-48cb-83fa-e69062daf90e</vt:lpwstr>
  </property>
  <property fmtid="{D5CDD505-2E9C-101B-9397-08002B2CF9AE}" pid="52" name="KrbDmsIdForm">
    <vt:lpwstr>9a257d14-63d8-48cb-83fa-e69062daf90e</vt:lpwstr>
  </property>
  <property fmtid="{D5CDD505-2E9C-101B-9397-08002B2CF9AE}" pid="53" name="KrbDmsIdTemplate">
    <vt:lpwstr>6eb03fe2-1f40-444f-bd8c-5ee8839077a8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