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26CF755D" w14:textId="77777777" w:rsidR="00213F5C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 xml:space="preserve">Č.j.: </w:t>
      </w:r>
      <w:r w:rsidRPr="00246BFA"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  <w:t>………</w:t>
      </w:r>
    </w:p>
    <w:p w14:paraId="43A7ACDC" w14:textId="77777777" w:rsidR="00AC1096" w:rsidRPr="00246BFA" w:rsidRDefault="00AC1096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</w:p>
    <w:p w14:paraId="235E7768" w14:textId="5EDB86CE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B41E6F6" w14:textId="4F9691CE" w:rsidR="00213F5C" w:rsidRDefault="00213F5C" w:rsidP="00213F5C">
      <w:pPr>
        <w:spacing w:before="120" w:after="0"/>
        <w:jc w:val="both"/>
        <w:rPr>
          <w:rFonts w:ascii="Arial" w:hAnsi="Arial" w:cs="Arial"/>
        </w:rPr>
      </w:pPr>
    </w:p>
    <w:p w14:paraId="4C4FD303" w14:textId="2D5EEFA9" w:rsidR="00323423" w:rsidRDefault="00323423" w:rsidP="00213F5C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F20DB3" w14:textId="77777777" w:rsidR="00906822" w:rsidRPr="00246BFA" w:rsidRDefault="00906822" w:rsidP="00213F5C">
      <w:pPr>
        <w:spacing w:before="120" w:after="0"/>
        <w:jc w:val="both"/>
        <w:rPr>
          <w:rFonts w:ascii="Arial" w:hAnsi="Arial" w:cs="Arial"/>
        </w:rPr>
      </w:pPr>
    </w:p>
    <w:p w14:paraId="7676F126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C0E3FAE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7E803875" w14:textId="13C435DB" w:rsidR="00213F5C" w:rsidRPr="00906822" w:rsidRDefault="00213F5C" w:rsidP="00906822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802D878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 - podnikatel</w:t>
      </w:r>
    </w:p>
    <w:p w14:paraId="40371FBA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1DC8FBE3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</w:t>
      </w:r>
      <w:proofErr w:type="gramStart"/>
      <w:r w:rsidRPr="00246BFA">
        <w:rPr>
          <w:rFonts w:ascii="Arial" w:hAnsi="Arial" w:cs="Arial"/>
          <w:iCs/>
          <w:sz w:val="22"/>
          <w:szCs w:val="22"/>
        </w:rPr>
        <w:t>): ….</w:t>
      </w:r>
      <w:proofErr w:type="gramEnd"/>
      <w:r w:rsidRPr="00246BFA">
        <w:rPr>
          <w:rFonts w:ascii="Arial" w:hAnsi="Arial" w:cs="Arial"/>
          <w:iCs/>
          <w:sz w:val="22"/>
          <w:szCs w:val="22"/>
        </w:rPr>
        <w:t>.…., skutečné sídlo podnikatele………., trvalý pobyt (pro případ zápisu do katastru nemovitostí): …………..</w:t>
      </w:r>
    </w:p>
    <w:p w14:paraId="4273FAB9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76665B1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3A32BBEA" w14:textId="7BD260AD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475FC9BD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</w:t>
      </w:r>
      <w:proofErr w:type="gramEnd"/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osoba</w:t>
      </w:r>
    </w:p>
    <w:p w14:paraId="40CB274F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4CAFDEC2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1201A93F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64C69786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31AFCE0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7F3D3B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6C5CC8BD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3E8DDF5D" w14:textId="78464AE0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3BED16B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A74DF86" w14:textId="77777777" w:rsidR="00213F5C" w:rsidRPr="0039070F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</w:t>
      </w:r>
      <w:proofErr w:type="gramEnd"/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samosprávný celek</w:t>
      </w:r>
    </w:p>
    <w:p w14:paraId="60AFCF80" w14:textId="77777777" w:rsidR="00213F5C" w:rsidRPr="00246BFA" w:rsidRDefault="00213F5C" w:rsidP="002E7D75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53B847B4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5FA394F0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21959F25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04070DC3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1DA7919D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89E81C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059A5D3B" w14:textId="644E5C94" w:rsidR="00213F5C" w:rsidRPr="00246BFA" w:rsidRDefault="00213F5C" w:rsidP="002E7D75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0DF758DC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65189AC7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  <w:proofErr w:type="gramEnd"/>
    </w:p>
    <w:p w14:paraId="7BF6C098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44479489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</w:t>
      </w:r>
      <w:proofErr w:type="gramEnd"/>
      <w:r w:rsidRPr="00246BFA">
        <w:rPr>
          <w:rFonts w:ascii="Arial" w:hAnsi="Arial" w:cs="Arial"/>
          <w:sz w:val="22"/>
          <w:szCs w:val="22"/>
          <w:highlight w:val="lightGray"/>
        </w:rPr>
        <w:t>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091A156D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trvalý </w:t>
      </w:r>
      <w:proofErr w:type="gramStart"/>
      <w:r w:rsidRPr="00246BFA">
        <w:rPr>
          <w:rFonts w:ascii="Arial" w:hAnsi="Arial" w:cs="Arial"/>
          <w:sz w:val="22"/>
          <w:szCs w:val="22"/>
        </w:rPr>
        <w:t>pobyt:</w:t>
      </w:r>
      <w:r w:rsidRPr="00246BFA">
        <w:rPr>
          <w:rFonts w:ascii="Arial" w:hAnsi="Arial" w:cs="Arial"/>
          <w:sz w:val="22"/>
          <w:szCs w:val="22"/>
          <w:highlight w:val="lightGray"/>
        </w:rPr>
        <w:t>…</w:t>
      </w:r>
      <w:proofErr w:type="gramEnd"/>
      <w:r w:rsidRPr="00246BFA">
        <w:rPr>
          <w:rFonts w:ascii="Arial" w:hAnsi="Arial" w:cs="Arial"/>
          <w:sz w:val="22"/>
          <w:szCs w:val="22"/>
          <w:highlight w:val="lightGray"/>
        </w:rPr>
        <w:t>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48B4BF47" w14:textId="615A56F7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lastRenderedPageBreak/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DF1378A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AC4FF4" w14:textId="4B6D37C8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K U P N Í    S M L O U V U</w:t>
      </w:r>
    </w:p>
    <w:p w14:paraId="41399335" w14:textId="54B0FA1F" w:rsidR="00213F5C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3008CEF1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D2C79E" w14:textId="0734DA13" w:rsidR="00E30C4B" w:rsidRPr="00E13C50" w:rsidRDefault="00E30C4B" w:rsidP="00E13C50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Česká republika je vlastníkem </w:t>
      </w:r>
      <w:r w:rsidR="000F72CA" w:rsidRPr="003E36F2">
        <w:rPr>
          <w:rFonts w:ascii="Arial" w:hAnsi="Arial" w:cs="Arial"/>
          <w:b/>
          <w:bCs/>
          <w:sz w:val="22"/>
          <w:szCs w:val="22"/>
        </w:rPr>
        <w:t xml:space="preserve">použitého </w:t>
      </w:r>
      <w:r w:rsidR="003E5F5B" w:rsidRPr="003E36F2">
        <w:rPr>
          <w:rFonts w:ascii="Arial" w:hAnsi="Arial" w:cs="Arial"/>
          <w:b/>
          <w:bCs/>
          <w:sz w:val="22"/>
          <w:szCs w:val="22"/>
        </w:rPr>
        <w:t xml:space="preserve">Apple </w:t>
      </w:r>
      <w:r w:rsidR="007B16B2">
        <w:rPr>
          <w:rFonts w:ascii="Arial" w:hAnsi="Arial" w:cs="Arial"/>
          <w:b/>
          <w:bCs/>
          <w:sz w:val="22"/>
          <w:szCs w:val="22"/>
        </w:rPr>
        <w:t>iPhone XS 64 GB</w:t>
      </w:r>
    </w:p>
    <w:p w14:paraId="1A21332E" w14:textId="0C8673A7" w:rsidR="00E30C4B" w:rsidRPr="00246BFA" w:rsidRDefault="00E30C4B" w:rsidP="00D23390">
      <w:pPr>
        <w:pStyle w:val="obec"/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(dále jen </w:t>
      </w:r>
      <w:r w:rsidRPr="0026777B">
        <w:rPr>
          <w:rFonts w:ascii="Arial" w:hAnsi="Arial" w:cs="Arial"/>
          <w:b/>
          <w:bCs/>
          <w:sz w:val="22"/>
          <w:szCs w:val="22"/>
        </w:rPr>
        <w:t>„převáděný majetek“</w:t>
      </w:r>
      <w:r w:rsidRPr="00246BFA">
        <w:rPr>
          <w:rFonts w:ascii="Arial" w:hAnsi="Arial" w:cs="Arial"/>
          <w:sz w:val="22"/>
          <w:szCs w:val="22"/>
        </w:rPr>
        <w:t>)</w:t>
      </w: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2484F68E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kupní smlouva je uzavírána na základě výsledků výběrového řízení s aukcí elektronickou formou 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Pr="00246BFA">
          <w:rPr>
            <w:rStyle w:val="Hypertextovodkaz"/>
            <w:rFonts w:ascii="Arial" w:hAnsi="Arial" w:cs="Arial"/>
          </w:rPr>
          <w:t>www.nabidkamajetku.cz</w:t>
        </w:r>
      </w:hyperlink>
      <w:r w:rsidRPr="00246BFA">
        <w:rPr>
          <w:rFonts w:ascii="Arial" w:hAnsi="Arial" w:cs="Arial"/>
        </w:rPr>
        <w:t xml:space="preserve">. </w:t>
      </w:r>
    </w:p>
    <w:p w14:paraId="38DE6780" w14:textId="77777777" w:rsidR="00431D11" w:rsidRPr="00246BFA" w:rsidRDefault="00431D11" w:rsidP="00BB345D">
      <w:pPr>
        <w:pStyle w:val="Odstavecseseznamem"/>
        <w:ind w:left="567"/>
        <w:rPr>
          <w:rFonts w:ascii="Arial" w:hAnsi="Arial" w:cs="Arial"/>
        </w:rPr>
      </w:pPr>
    </w:p>
    <w:p w14:paraId="021348D9" w14:textId="490410D6" w:rsidR="00431D11" w:rsidRPr="00246BFA" w:rsidRDefault="00431D11" w:rsidP="00E42F7B">
      <w:pPr>
        <w:widowControl w:val="0"/>
        <w:spacing w:before="120" w:after="12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A423142" w:rsidR="000F2317" w:rsidRPr="00246BFA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 …</w:t>
      </w:r>
      <w:proofErr w:type="gramStart"/>
      <w:r w:rsidRPr="00246BFA">
        <w:rPr>
          <w:rFonts w:ascii="Arial" w:hAnsi="Arial" w:cs="Arial"/>
        </w:rPr>
        <w:t>...….</w:t>
      </w:r>
      <w:proofErr w:type="gramEnd"/>
      <w:r w:rsidRPr="00246BFA">
        <w:rPr>
          <w:rFonts w:ascii="Arial" w:hAnsi="Arial" w:cs="Arial"/>
        </w:rPr>
        <w:t>.… (slovy ……........……..........…)</w:t>
      </w:r>
      <w:r w:rsidR="00085273" w:rsidRPr="00246BFA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Kupující se zavazuje převáděný majetek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E42F7B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E42F7B">
        <w:rPr>
          <w:rFonts w:ascii="Arial" w:hAnsi="Arial" w:cs="Arial"/>
        </w:rPr>
        <w:t>Čl. III.</w:t>
      </w:r>
    </w:p>
    <w:p w14:paraId="3A92693B" w14:textId="0D07F014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 …………………. dne ……</w:t>
      </w:r>
      <w:proofErr w:type="gramStart"/>
      <w:r w:rsidR="00866D96" w:rsidRPr="00246BFA">
        <w:rPr>
          <w:rFonts w:ascii="Arial" w:hAnsi="Arial" w:cs="Arial"/>
        </w:rPr>
        <w:t>…….</w:t>
      </w:r>
      <w:proofErr w:type="gramEnd"/>
      <w:r w:rsidR="00866D96" w:rsidRPr="00246BFA">
        <w:rPr>
          <w:rFonts w:ascii="Arial" w:hAnsi="Arial" w:cs="Arial"/>
        </w:rPr>
        <w:t>.</w:t>
      </w:r>
      <w:r w:rsidR="00F64734">
        <w:rPr>
          <w:rFonts w:ascii="Arial" w:hAnsi="Arial" w:cs="Arial"/>
        </w:rPr>
        <w:t xml:space="preserve"> nebo v hotovosti </w:t>
      </w:r>
      <w:r w:rsidR="006533C9" w:rsidRPr="00246BFA">
        <w:rPr>
          <w:rFonts w:ascii="Arial" w:hAnsi="Arial" w:cs="Arial"/>
        </w:rPr>
        <w:t>na adrese Národní sportovní agentury, Českomoravská 2420/15, Praha 9</w:t>
      </w:r>
      <w:r w:rsidR="00612531">
        <w:rPr>
          <w:rFonts w:ascii="Arial" w:hAnsi="Arial" w:cs="Arial"/>
        </w:rPr>
        <w:t xml:space="preserve">, </w:t>
      </w:r>
      <w:r w:rsidR="00F64734">
        <w:rPr>
          <w:rFonts w:ascii="Arial" w:hAnsi="Arial" w:cs="Arial"/>
        </w:rPr>
        <w:t>dne …………………</w:t>
      </w:r>
      <w:proofErr w:type="gramStart"/>
      <w:r w:rsidR="00F64734">
        <w:rPr>
          <w:rFonts w:ascii="Arial" w:hAnsi="Arial" w:cs="Arial"/>
        </w:rPr>
        <w:t>…….</w:t>
      </w:r>
      <w:proofErr w:type="gramEnd"/>
      <w:r w:rsidR="00F64734">
        <w:rPr>
          <w:rFonts w:ascii="Arial" w:hAnsi="Arial" w:cs="Arial"/>
        </w:rPr>
        <w:t>.</w:t>
      </w:r>
    </w:p>
    <w:p w14:paraId="2830DDCA" w14:textId="77777777" w:rsidR="000D147D" w:rsidRPr="00246BFA" w:rsidRDefault="000D147D" w:rsidP="00482B7A">
      <w:pPr>
        <w:jc w:val="both"/>
        <w:rPr>
          <w:rFonts w:ascii="Arial" w:hAnsi="Arial" w:cs="Arial"/>
        </w:rPr>
      </w:pPr>
    </w:p>
    <w:p w14:paraId="56880119" w14:textId="1F927A8B" w:rsidR="000D147D" w:rsidRPr="00246BFA" w:rsidRDefault="000D147D" w:rsidP="00BD4FE1">
      <w:pPr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604AA555" w14:textId="00FB3007" w:rsidR="0068234C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67289DF" w14:textId="6A3B84FC" w:rsidR="006C4F1F" w:rsidRDefault="006C4F1F" w:rsidP="00B76CA7">
      <w:pPr>
        <w:spacing w:after="0" w:line="240" w:lineRule="auto"/>
        <w:jc w:val="both"/>
        <w:rPr>
          <w:rFonts w:ascii="Arial" w:hAnsi="Arial" w:cs="Arial"/>
        </w:rPr>
      </w:pP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482B7A">
      <w:pPr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 xml:space="preserve">Odstoupením se závazky z této smlouvy od počátku </w:t>
      </w:r>
      <w:proofErr w:type="gramStart"/>
      <w:r w:rsidRPr="00246BFA">
        <w:rPr>
          <w:rFonts w:ascii="Arial" w:hAnsi="Arial" w:cs="Arial"/>
        </w:rPr>
        <w:t>ruší</w:t>
      </w:r>
      <w:proofErr w:type="gramEnd"/>
      <w:r w:rsidRPr="00246BFA">
        <w:rPr>
          <w:rFonts w:ascii="Arial" w:hAnsi="Arial" w:cs="Arial"/>
        </w:rPr>
        <w:t>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72ACBBD6" w14:textId="77777777" w:rsidR="006C4F1F" w:rsidRPr="00246BFA" w:rsidRDefault="006C4F1F" w:rsidP="006C4F1F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DDB252D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776EA1C9" w14:textId="77777777" w:rsidR="001E79B7" w:rsidRPr="00246BFA" w:rsidRDefault="00512DC5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předpisů. </w:t>
      </w:r>
    </w:p>
    <w:p w14:paraId="69BD35CC" w14:textId="50B47773" w:rsidR="00512DC5" w:rsidRPr="00246BFA" w:rsidRDefault="00D62D27" w:rsidP="00FC14AF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791A4B" w:rsidRPr="00246BFA">
        <w:rPr>
          <w:rFonts w:ascii="Arial" w:hAnsi="Arial" w:cs="Arial"/>
          <w:i/>
          <w:iCs/>
        </w:rPr>
        <w:t>v případě, že hodnota předmětu smlouvy nepřesahuje 50 000 Kč bez DPH</w:t>
      </w:r>
      <w:r>
        <w:rPr>
          <w:rFonts w:ascii="Arial" w:hAnsi="Arial" w:cs="Arial"/>
          <w:i/>
          <w:iCs/>
        </w:rPr>
        <w:t>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smlouva je vyhotovena ve dvou stejnopisech. Každá ze smluvních stran </w:t>
      </w:r>
      <w:proofErr w:type="gramStart"/>
      <w:r w:rsidRPr="00246BFA">
        <w:rPr>
          <w:rFonts w:ascii="Arial" w:hAnsi="Arial" w:cs="Arial"/>
        </w:rPr>
        <w:t>obdrží</w:t>
      </w:r>
      <w:proofErr w:type="gramEnd"/>
      <w:r w:rsidRPr="00246BFA">
        <w:rPr>
          <w:rFonts w:ascii="Arial" w:hAnsi="Arial" w:cs="Arial"/>
        </w:rPr>
        <w:t xml:space="preserve">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P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17E4B8EF" w14:textId="77777777" w:rsidR="00967637" w:rsidRPr="00246BFA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proofErr w:type="gramStart"/>
      <w:r w:rsidRPr="00246BFA">
        <w:rPr>
          <w:rFonts w:ascii="Arial" w:hAnsi="Arial" w:cs="Arial"/>
          <w:b/>
          <w:bCs/>
          <w:u w:val="single"/>
        </w:rPr>
        <w:t>Varianta - pouze</w:t>
      </w:r>
      <w:proofErr w:type="gramEnd"/>
      <w:r w:rsidRPr="00246BFA">
        <w:rPr>
          <w:rFonts w:ascii="Arial" w:hAnsi="Arial" w:cs="Arial"/>
          <w:b/>
          <w:bCs/>
          <w:u w:val="single"/>
        </w:rPr>
        <w:t xml:space="preserve"> u smluv uzavřených s ÚSC </w:t>
      </w:r>
    </w:p>
    <w:p w14:paraId="740197CD" w14:textId="77777777" w:rsidR="00574DD0" w:rsidRDefault="00967637" w:rsidP="00FC14A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2BBCB204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2671DB4" w14:textId="36C024A6" w:rsidR="009868EC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</w:t>
      </w:r>
      <w:proofErr w:type="gramStart"/>
      <w:r w:rsidRPr="00246BFA">
        <w:rPr>
          <w:rFonts w:ascii="Arial" w:hAnsi="Arial" w:cs="Arial"/>
          <w:i/>
          <w:iCs/>
        </w:rPr>
        <w:t>označí</w:t>
      </w:r>
      <w:proofErr w:type="gramEnd"/>
      <w:r w:rsidRPr="00246BFA">
        <w:rPr>
          <w:rFonts w:ascii="Arial" w:hAnsi="Arial" w:cs="Arial"/>
          <w:i/>
          <w:iCs/>
        </w:rPr>
        <w:t xml:space="preserve"> číslem 1</w:t>
      </w:r>
      <w:r w:rsidR="004E42B4" w:rsidRPr="00246BFA">
        <w:rPr>
          <w:rFonts w:ascii="Arial" w:hAnsi="Arial" w:cs="Arial"/>
          <w:i/>
          <w:iCs/>
        </w:rPr>
        <w:t>1.</w:t>
      </w:r>
      <w:r w:rsidRPr="00246BFA">
        <w:rPr>
          <w:rFonts w:ascii="Arial" w:hAnsi="Arial" w:cs="Arial"/>
          <w:i/>
          <w:iCs/>
        </w:rPr>
        <w:t>)</w:t>
      </w:r>
    </w:p>
    <w:p w14:paraId="4CA719E2" w14:textId="77777777" w:rsidR="00FC14AF" w:rsidRDefault="00FC14AF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DA89BFA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EBDE4B" w14:textId="41D36F1E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94001C">
        <w:rPr>
          <w:rFonts w:ascii="Arial" w:hAnsi="Arial" w:cs="Arial"/>
        </w:rPr>
        <w:t>V </w:t>
      </w:r>
      <w:r w:rsidR="0094001C" w:rsidRPr="0094001C">
        <w:rPr>
          <w:rFonts w:ascii="Arial" w:hAnsi="Arial" w:cs="Arial"/>
        </w:rPr>
        <w:t xml:space="preserve"> …</w:t>
      </w:r>
      <w:proofErr w:type="gramEnd"/>
      <w:r w:rsidR="0094001C" w:rsidRPr="0094001C">
        <w:rPr>
          <w:rFonts w:ascii="Arial" w:hAnsi="Arial" w:cs="Arial"/>
        </w:rPr>
        <w:t>………… dne …………………</w:t>
      </w:r>
      <w:r w:rsidR="0094001C">
        <w:rPr>
          <w:rFonts w:ascii="Arial" w:hAnsi="Arial" w:cs="Arial"/>
        </w:rPr>
        <w:t xml:space="preserve">                           V ………………… dne ………………….</w:t>
      </w: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18A5847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C2983AE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40EE1263" w:rsidR="0078649F" w:rsidRDefault="00095675" w:rsidP="00382D5F">
      <w:pPr>
        <w:jc w:val="both"/>
        <w:rPr>
          <w:rFonts w:ascii="Arial" w:hAnsi="Arial" w:cs="Arial"/>
          <w:i/>
          <w:iCs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5A19C3" w:rsidRPr="005A19C3">
        <w:rPr>
          <w:rFonts w:ascii="Arial" w:hAnsi="Arial" w:cs="Arial"/>
          <w:i/>
          <w:iCs/>
        </w:rPr>
        <w:t>a</w:t>
      </w:r>
      <w:r w:rsidRPr="005A19C3">
        <w:rPr>
          <w:rFonts w:ascii="Arial" w:hAnsi="Arial" w:cs="Arial"/>
          <w:i/>
          <w:iCs/>
        </w:rPr>
        <w:t>kademický titul, jméno</w:t>
      </w:r>
      <w:r w:rsidR="00382D5F">
        <w:rPr>
          <w:rFonts w:ascii="Arial" w:hAnsi="Arial" w:cs="Arial"/>
          <w:i/>
          <w:iCs/>
        </w:rPr>
        <w:t xml:space="preserve"> a</w:t>
      </w:r>
      <w:r w:rsidRPr="005A19C3">
        <w:rPr>
          <w:rFonts w:ascii="Arial" w:hAnsi="Arial" w:cs="Arial"/>
          <w:i/>
          <w:iCs/>
        </w:rPr>
        <w:t xml:space="preserve"> příjmení</w:t>
      </w:r>
      <w:r w:rsidR="005A19C3" w:rsidRPr="005A19C3">
        <w:rPr>
          <w:rFonts w:ascii="Arial" w:hAnsi="Arial" w:cs="Arial"/>
          <w:i/>
          <w:iCs/>
        </w:rPr>
        <w:t>, funkce</w:t>
      </w:r>
      <w:r w:rsidR="005A19C3">
        <w:rPr>
          <w:rFonts w:ascii="Arial" w:hAnsi="Arial" w:cs="Arial"/>
          <w:i/>
          <w:iCs/>
        </w:rPr>
        <w:t xml:space="preserve">              aka</w:t>
      </w:r>
      <w:r w:rsidR="00382D5F">
        <w:rPr>
          <w:rFonts w:ascii="Arial" w:hAnsi="Arial" w:cs="Arial"/>
          <w:i/>
          <w:iCs/>
        </w:rPr>
        <w:t>d</w:t>
      </w:r>
      <w:r w:rsidR="005A19C3">
        <w:rPr>
          <w:rFonts w:ascii="Arial" w:hAnsi="Arial" w:cs="Arial"/>
          <w:i/>
          <w:iCs/>
        </w:rPr>
        <w:t>e</w:t>
      </w:r>
      <w:r w:rsidR="00382D5F">
        <w:rPr>
          <w:rFonts w:ascii="Arial" w:hAnsi="Arial" w:cs="Arial"/>
          <w:i/>
          <w:iCs/>
        </w:rPr>
        <w:t>m</w:t>
      </w:r>
      <w:r w:rsidR="005A19C3">
        <w:rPr>
          <w:rFonts w:ascii="Arial" w:hAnsi="Arial" w:cs="Arial"/>
          <w:i/>
          <w:iCs/>
        </w:rPr>
        <w:t>ický titul</w:t>
      </w:r>
      <w:r w:rsidR="00382D5F">
        <w:rPr>
          <w:rFonts w:ascii="Arial" w:hAnsi="Arial" w:cs="Arial"/>
          <w:i/>
          <w:iCs/>
        </w:rPr>
        <w:t>, jméno a příjmení, funkce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B7A7E" w14:textId="77777777" w:rsidR="000A0CCF" w:rsidRDefault="000A0CCF" w:rsidP="004F3D69">
      <w:pPr>
        <w:spacing w:after="0" w:line="240" w:lineRule="auto"/>
      </w:pPr>
      <w:r>
        <w:separator/>
      </w:r>
    </w:p>
  </w:endnote>
  <w:endnote w:type="continuationSeparator" w:id="0">
    <w:p w14:paraId="25445418" w14:textId="77777777" w:rsidR="000A0CCF" w:rsidRDefault="000A0CCF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4B82" w14:textId="77777777" w:rsidR="000A0CCF" w:rsidRDefault="000A0CCF" w:rsidP="004F3D69">
      <w:pPr>
        <w:spacing w:after="0" w:line="240" w:lineRule="auto"/>
      </w:pPr>
      <w:r>
        <w:separator/>
      </w:r>
    </w:p>
  </w:footnote>
  <w:footnote w:type="continuationSeparator" w:id="0">
    <w:p w14:paraId="18942909" w14:textId="77777777" w:rsidR="000A0CCF" w:rsidRDefault="000A0CCF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846BC"/>
    <w:rsid w:val="00186221"/>
    <w:rsid w:val="001B23FB"/>
    <w:rsid w:val="001E79B7"/>
    <w:rsid w:val="00213F5C"/>
    <w:rsid w:val="00233A13"/>
    <w:rsid w:val="00246BFA"/>
    <w:rsid w:val="00255D4B"/>
    <w:rsid w:val="002643DA"/>
    <w:rsid w:val="0026777B"/>
    <w:rsid w:val="00274E57"/>
    <w:rsid w:val="002C088F"/>
    <w:rsid w:val="002E7D75"/>
    <w:rsid w:val="00323423"/>
    <w:rsid w:val="00382D5F"/>
    <w:rsid w:val="0039070F"/>
    <w:rsid w:val="003E36F2"/>
    <w:rsid w:val="003E5F5B"/>
    <w:rsid w:val="00431D11"/>
    <w:rsid w:val="00482B7A"/>
    <w:rsid w:val="004A5823"/>
    <w:rsid w:val="004E42B4"/>
    <w:rsid w:val="004E73A9"/>
    <w:rsid w:val="004F3D69"/>
    <w:rsid w:val="00512DC5"/>
    <w:rsid w:val="00557FCC"/>
    <w:rsid w:val="00574DD0"/>
    <w:rsid w:val="005A19C3"/>
    <w:rsid w:val="00612531"/>
    <w:rsid w:val="00636506"/>
    <w:rsid w:val="00647E89"/>
    <w:rsid w:val="006533C9"/>
    <w:rsid w:val="00666997"/>
    <w:rsid w:val="0068234C"/>
    <w:rsid w:val="00685B5F"/>
    <w:rsid w:val="006B00E8"/>
    <w:rsid w:val="006C4F1F"/>
    <w:rsid w:val="006D701B"/>
    <w:rsid w:val="006F43EE"/>
    <w:rsid w:val="00706D74"/>
    <w:rsid w:val="00707B50"/>
    <w:rsid w:val="007379A0"/>
    <w:rsid w:val="0078649F"/>
    <w:rsid w:val="00791A4B"/>
    <w:rsid w:val="007A2A45"/>
    <w:rsid w:val="007A36A3"/>
    <w:rsid w:val="007B16B2"/>
    <w:rsid w:val="007B7F7F"/>
    <w:rsid w:val="00833010"/>
    <w:rsid w:val="00866D96"/>
    <w:rsid w:val="00870BF3"/>
    <w:rsid w:val="008A1AC5"/>
    <w:rsid w:val="00906822"/>
    <w:rsid w:val="009233D5"/>
    <w:rsid w:val="0094001C"/>
    <w:rsid w:val="0095549B"/>
    <w:rsid w:val="00967637"/>
    <w:rsid w:val="009868EC"/>
    <w:rsid w:val="009968AD"/>
    <w:rsid w:val="00A31F21"/>
    <w:rsid w:val="00AC1096"/>
    <w:rsid w:val="00AC51D2"/>
    <w:rsid w:val="00B040AA"/>
    <w:rsid w:val="00B47F30"/>
    <w:rsid w:val="00B60CB6"/>
    <w:rsid w:val="00B73077"/>
    <w:rsid w:val="00B76CA7"/>
    <w:rsid w:val="00B860FD"/>
    <w:rsid w:val="00BB20DC"/>
    <w:rsid w:val="00BB345D"/>
    <w:rsid w:val="00BD4FE1"/>
    <w:rsid w:val="00BE353B"/>
    <w:rsid w:val="00BF3B4A"/>
    <w:rsid w:val="00C11E10"/>
    <w:rsid w:val="00C16CFE"/>
    <w:rsid w:val="00C51C9F"/>
    <w:rsid w:val="00C5578F"/>
    <w:rsid w:val="00CC330D"/>
    <w:rsid w:val="00CC46D0"/>
    <w:rsid w:val="00D23390"/>
    <w:rsid w:val="00D46575"/>
    <w:rsid w:val="00D55BEC"/>
    <w:rsid w:val="00D60D92"/>
    <w:rsid w:val="00D61924"/>
    <w:rsid w:val="00D62D27"/>
    <w:rsid w:val="00D72BE6"/>
    <w:rsid w:val="00E01E91"/>
    <w:rsid w:val="00E13C50"/>
    <w:rsid w:val="00E30C4B"/>
    <w:rsid w:val="00E37E96"/>
    <w:rsid w:val="00E42F7B"/>
    <w:rsid w:val="00E46C5D"/>
    <w:rsid w:val="00E73EEF"/>
    <w:rsid w:val="00E95F73"/>
    <w:rsid w:val="00EC5BAF"/>
    <w:rsid w:val="00EE051A"/>
    <w:rsid w:val="00F22BAC"/>
    <w:rsid w:val="00F64734"/>
    <w:rsid w:val="00F82AA5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2</cp:revision>
  <dcterms:created xsi:type="dcterms:W3CDTF">2024-08-19T09:26:00Z</dcterms:created>
  <dcterms:modified xsi:type="dcterms:W3CDTF">2024-08-19T09:26:00Z</dcterms:modified>
</cp:coreProperties>
</file>