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ACD" w:rsidRDefault="00723ACD" w:rsidP="00723ACD">
      <w:pPr>
        <w:pStyle w:val="obec"/>
        <w:tabs>
          <w:tab w:val="left" w:pos="708"/>
        </w:tabs>
        <w:jc w:val="both"/>
        <w:rPr>
          <w:rFonts w:ascii="Arial" w:hAnsi="Arial" w:cs="Arial"/>
          <w:b/>
          <w:sz w:val="22"/>
          <w:szCs w:val="22"/>
        </w:rPr>
      </w:pPr>
    </w:p>
    <w:p w:rsidR="00723ACD" w:rsidRDefault="00723ACD" w:rsidP="00723ACD">
      <w:pPr>
        <w:pStyle w:val="obec"/>
        <w:tabs>
          <w:tab w:val="left" w:pos="708"/>
        </w:tabs>
        <w:jc w:val="both"/>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Úřad</w:t>
      </w:r>
      <w:proofErr w:type="gramEnd"/>
      <w:r>
        <w:rPr>
          <w:rFonts w:ascii="Arial" w:hAnsi="Arial" w:cs="Arial"/>
          <w:b/>
          <w:sz w:val="22"/>
          <w:szCs w:val="22"/>
        </w:rPr>
        <w:t xml:space="preserve"> pro zastupování státu ve věcech majetkových,</w:t>
      </w:r>
    </w:p>
    <w:p w:rsidR="00723ACD" w:rsidRDefault="00723ACD" w:rsidP="00723ACD">
      <w:pPr>
        <w:jc w:val="both"/>
        <w:rPr>
          <w:rFonts w:ascii="Arial" w:hAnsi="Arial" w:cs="Arial"/>
          <w:sz w:val="22"/>
          <w:szCs w:val="22"/>
        </w:rPr>
      </w:pPr>
      <w:r>
        <w:rPr>
          <w:rFonts w:ascii="Arial" w:hAnsi="Arial" w:cs="Arial"/>
          <w:sz w:val="22"/>
          <w:szCs w:val="22"/>
        </w:rPr>
        <w:t>se sídlem Rašínovo nábřeží 390/42, Nové Město, 128 00 Praha 2,</w:t>
      </w:r>
    </w:p>
    <w:p w:rsidR="00723ACD" w:rsidRDefault="00723ACD" w:rsidP="00723ACD">
      <w:pPr>
        <w:autoSpaceDE w:val="0"/>
        <w:autoSpaceDN w:val="0"/>
        <w:adjustRightInd w:val="0"/>
        <w:jc w:val="both"/>
        <w:outlineLvl w:val="0"/>
        <w:rPr>
          <w:rFonts w:ascii="Arial" w:hAnsi="Arial" w:cs="Arial"/>
          <w:i/>
          <w:sz w:val="22"/>
          <w:szCs w:val="22"/>
        </w:rPr>
      </w:pPr>
      <w:r>
        <w:rPr>
          <w:rFonts w:ascii="Arial" w:hAnsi="Arial" w:cs="Arial"/>
          <w:sz w:val="22"/>
          <w:szCs w:val="22"/>
        </w:rPr>
        <w:t>za kterou právně jedná RNDr. Miroslav Šimon, ředitel odboru Hospodaření s majetkem státu Územního pracoviště Střední Čechy,</w:t>
      </w:r>
    </w:p>
    <w:p w:rsidR="00723ACD" w:rsidRDefault="00723ACD" w:rsidP="00723ACD">
      <w:pPr>
        <w:autoSpaceDE w:val="0"/>
        <w:autoSpaceDN w:val="0"/>
        <w:adjustRightInd w:val="0"/>
        <w:jc w:val="both"/>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723ACD" w:rsidRDefault="00723ACD" w:rsidP="00723ACD">
      <w:pPr>
        <w:ind w:left="426" w:hanging="426"/>
        <w:jc w:val="both"/>
        <w:rPr>
          <w:rFonts w:ascii="Arial" w:hAnsi="Arial" w:cs="Arial"/>
          <w:sz w:val="22"/>
          <w:szCs w:val="22"/>
        </w:rPr>
      </w:pPr>
      <w:r>
        <w:rPr>
          <w:rFonts w:ascii="Arial" w:hAnsi="Arial" w:cs="Arial"/>
          <w:sz w:val="22"/>
          <w:szCs w:val="22"/>
        </w:rPr>
        <w:t>IČO: 69797111</w:t>
      </w:r>
    </w:p>
    <w:p w:rsidR="00723ACD" w:rsidRDefault="00723ACD" w:rsidP="00723ACD">
      <w:pPr>
        <w:jc w:val="both"/>
        <w:rPr>
          <w:b/>
          <w:sz w:val="22"/>
          <w:szCs w:val="22"/>
        </w:rPr>
      </w:pPr>
      <w:r>
        <w:rPr>
          <w:rFonts w:ascii="Arial" w:hAnsi="Arial" w:cs="Arial"/>
          <w:b/>
          <w:sz w:val="22"/>
          <w:szCs w:val="22"/>
        </w:rPr>
        <w:t>(dále jen „pronajímatel“)</w:t>
      </w:r>
    </w:p>
    <w:p w:rsidR="00723ACD" w:rsidRDefault="00723ACD" w:rsidP="00723ACD">
      <w:pPr>
        <w:spacing w:before="120" w:after="120"/>
        <w:jc w:val="both"/>
        <w:rPr>
          <w:rFonts w:ascii="Arial" w:hAnsi="Arial" w:cs="Arial"/>
          <w:sz w:val="22"/>
          <w:szCs w:val="22"/>
        </w:rPr>
      </w:pPr>
      <w:r>
        <w:rPr>
          <w:rFonts w:ascii="Arial" w:hAnsi="Arial" w:cs="Arial"/>
          <w:sz w:val="22"/>
          <w:szCs w:val="22"/>
        </w:rPr>
        <w:t>a</w:t>
      </w:r>
    </w:p>
    <w:p w:rsidR="00723ACD" w:rsidRDefault="00723ACD" w:rsidP="00723ACD">
      <w:pPr>
        <w:pStyle w:val="adresa"/>
        <w:tabs>
          <w:tab w:val="left" w:pos="120"/>
        </w:tabs>
        <w:ind w:left="505" w:hanging="505"/>
        <w:rPr>
          <w:rFonts w:ascii="Arial" w:hAnsi="Arial" w:cs="Arial"/>
          <w:b/>
          <w:sz w:val="22"/>
          <w:szCs w:val="22"/>
        </w:rPr>
      </w:pPr>
      <w:r>
        <w:rPr>
          <w:rFonts w:ascii="Arial" w:hAnsi="Arial" w:cs="Arial"/>
          <w:b/>
          <w:sz w:val="22"/>
          <w:szCs w:val="22"/>
        </w:rPr>
        <w:t>manželé</w:t>
      </w:r>
    </w:p>
    <w:p w:rsidR="00723ACD" w:rsidRDefault="00723ACD" w:rsidP="00723ACD">
      <w:pPr>
        <w:pStyle w:val="adresa"/>
        <w:tabs>
          <w:tab w:val="left" w:pos="120"/>
        </w:tabs>
        <w:ind w:left="505" w:hanging="505"/>
        <w:rPr>
          <w:rFonts w:ascii="Arial" w:hAnsi="Arial" w:cs="Arial"/>
          <w:sz w:val="22"/>
          <w:szCs w:val="22"/>
        </w:rPr>
      </w:pPr>
    </w:p>
    <w:p w:rsidR="00723ACD" w:rsidRDefault="00723ACD" w:rsidP="00723ACD">
      <w:pPr>
        <w:tabs>
          <w:tab w:val="left" w:pos="120"/>
          <w:tab w:val="left" w:pos="3402"/>
          <w:tab w:val="left" w:pos="6237"/>
        </w:tabs>
        <w:ind w:left="284" w:hanging="284"/>
        <w:jc w:val="both"/>
        <w:rPr>
          <w:rFonts w:ascii="Arial" w:hAnsi="Arial" w:cs="Arial"/>
          <w:sz w:val="22"/>
          <w:szCs w:val="22"/>
        </w:rPr>
      </w:pPr>
      <w:r>
        <w:rPr>
          <w:rFonts w:ascii="Arial" w:hAnsi="Arial" w:cs="Arial"/>
          <w:b/>
          <w:sz w:val="22"/>
          <w:szCs w:val="22"/>
        </w:rPr>
        <w:t>XXXXXXXX</w:t>
      </w:r>
      <w:r>
        <w:rPr>
          <w:rFonts w:ascii="Arial" w:hAnsi="Arial" w:cs="Arial"/>
          <w:sz w:val="22"/>
          <w:szCs w:val="22"/>
        </w:rPr>
        <w:t xml:space="preserve">, datum narození: </w:t>
      </w:r>
      <w:r>
        <w:rPr>
          <w:rFonts w:ascii="Arial" w:hAnsi="Arial" w:cs="Arial"/>
          <w:sz w:val="22"/>
          <w:szCs w:val="22"/>
        </w:rPr>
        <w:t>XXXXXX</w:t>
      </w:r>
      <w:r>
        <w:rPr>
          <w:rFonts w:ascii="Arial" w:hAnsi="Arial" w:cs="Arial"/>
          <w:sz w:val="22"/>
          <w:szCs w:val="22"/>
        </w:rPr>
        <w:t>,</w:t>
      </w:r>
    </w:p>
    <w:p w:rsidR="00723ACD" w:rsidRDefault="00723ACD" w:rsidP="00723ACD">
      <w:pPr>
        <w:tabs>
          <w:tab w:val="left" w:pos="120"/>
          <w:tab w:val="left" w:pos="3402"/>
          <w:tab w:val="left" w:pos="6237"/>
        </w:tabs>
        <w:jc w:val="both"/>
        <w:rPr>
          <w:rFonts w:ascii="Arial" w:hAnsi="Arial" w:cs="Arial"/>
          <w:sz w:val="22"/>
          <w:szCs w:val="22"/>
        </w:rPr>
      </w:pPr>
      <w:r>
        <w:rPr>
          <w:rFonts w:ascii="Arial" w:hAnsi="Arial" w:cs="Arial"/>
          <w:sz w:val="22"/>
          <w:szCs w:val="22"/>
        </w:rPr>
        <w:t xml:space="preserve">trvalý pobyt: </w:t>
      </w:r>
      <w:r>
        <w:rPr>
          <w:rFonts w:ascii="Arial" w:hAnsi="Arial" w:cs="Arial"/>
          <w:sz w:val="22"/>
          <w:szCs w:val="22"/>
        </w:rPr>
        <w:t>XXXXXX</w:t>
      </w:r>
      <w:r>
        <w:rPr>
          <w:rFonts w:ascii="Arial" w:hAnsi="Arial" w:cs="Arial"/>
          <w:sz w:val="22"/>
          <w:szCs w:val="22"/>
        </w:rPr>
        <w:t xml:space="preserve"> </w:t>
      </w:r>
    </w:p>
    <w:p w:rsidR="00723ACD" w:rsidRDefault="00723ACD" w:rsidP="00723ACD">
      <w:pPr>
        <w:jc w:val="both"/>
        <w:rPr>
          <w:rFonts w:ascii="Arial" w:hAnsi="Arial" w:cs="Arial"/>
          <w:b/>
          <w:sz w:val="22"/>
          <w:szCs w:val="22"/>
        </w:rPr>
      </w:pPr>
    </w:p>
    <w:p w:rsidR="00723ACD" w:rsidRDefault="00723ACD" w:rsidP="00723ACD">
      <w:pPr>
        <w:jc w:val="both"/>
        <w:rPr>
          <w:rFonts w:ascii="Arial" w:hAnsi="Arial" w:cs="Arial"/>
          <w:sz w:val="22"/>
          <w:szCs w:val="22"/>
        </w:rPr>
      </w:pPr>
      <w:r>
        <w:rPr>
          <w:rFonts w:ascii="Arial" w:hAnsi="Arial" w:cs="Arial"/>
          <w:sz w:val="22"/>
          <w:szCs w:val="22"/>
        </w:rPr>
        <w:t xml:space="preserve">a </w:t>
      </w:r>
    </w:p>
    <w:p w:rsidR="00723ACD" w:rsidRDefault="00723ACD" w:rsidP="00723ACD">
      <w:pPr>
        <w:jc w:val="both"/>
        <w:rPr>
          <w:rFonts w:ascii="Arial" w:hAnsi="Arial" w:cs="Arial"/>
          <w:b/>
          <w:sz w:val="22"/>
          <w:szCs w:val="22"/>
        </w:rPr>
      </w:pPr>
    </w:p>
    <w:p w:rsidR="00723ACD" w:rsidRDefault="00723ACD" w:rsidP="00723ACD">
      <w:pPr>
        <w:jc w:val="both"/>
        <w:rPr>
          <w:rFonts w:ascii="Arial" w:hAnsi="Arial" w:cs="Arial"/>
          <w:sz w:val="22"/>
          <w:szCs w:val="22"/>
        </w:rPr>
      </w:pPr>
      <w:r>
        <w:rPr>
          <w:rFonts w:ascii="Arial" w:hAnsi="Arial" w:cs="Arial"/>
          <w:b/>
          <w:sz w:val="22"/>
          <w:szCs w:val="22"/>
        </w:rPr>
        <w:t>XXXXXXXXX</w:t>
      </w:r>
      <w:r>
        <w:rPr>
          <w:rFonts w:ascii="Arial" w:hAnsi="Arial" w:cs="Arial"/>
          <w:b/>
          <w:sz w:val="22"/>
          <w:szCs w:val="22"/>
        </w:rPr>
        <w:t xml:space="preserve">, </w:t>
      </w:r>
      <w:r>
        <w:rPr>
          <w:rFonts w:ascii="Arial" w:hAnsi="Arial" w:cs="Arial"/>
          <w:sz w:val="22"/>
          <w:szCs w:val="22"/>
        </w:rPr>
        <w:t xml:space="preserve">datum narození: </w:t>
      </w:r>
      <w:r>
        <w:rPr>
          <w:rFonts w:ascii="Arial" w:hAnsi="Arial" w:cs="Arial"/>
          <w:sz w:val="22"/>
          <w:szCs w:val="22"/>
        </w:rPr>
        <w:t>XXXXX</w:t>
      </w:r>
      <w:r>
        <w:rPr>
          <w:rFonts w:ascii="Arial" w:hAnsi="Arial" w:cs="Arial"/>
          <w:sz w:val="22"/>
          <w:szCs w:val="22"/>
        </w:rPr>
        <w:t>,</w:t>
      </w:r>
    </w:p>
    <w:p w:rsidR="00723ACD" w:rsidRDefault="00723ACD" w:rsidP="00723ACD">
      <w:pPr>
        <w:tabs>
          <w:tab w:val="left" w:pos="120"/>
          <w:tab w:val="left" w:pos="3402"/>
          <w:tab w:val="left" w:pos="6237"/>
        </w:tabs>
        <w:jc w:val="both"/>
        <w:rPr>
          <w:rFonts w:ascii="Arial" w:hAnsi="Arial" w:cs="Arial"/>
          <w:sz w:val="22"/>
          <w:szCs w:val="22"/>
        </w:rPr>
      </w:pPr>
      <w:r>
        <w:rPr>
          <w:rFonts w:ascii="Arial" w:hAnsi="Arial" w:cs="Arial"/>
          <w:sz w:val="22"/>
          <w:szCs w:val="22"/>
        </w:rPr>
        <w:t xml:space="preserve">trvalý pobyt: </w:t>
      </w:r>
      <w:r>
        <w:rPr>
          <w:rFonts w:ascii="Arial" w:hAnsi="Arial" w:cs="Arial"/>
          <w:sz w:val="22"/>
          <w:szCs w:val="22"/>
        </w:rPr>
        <w:t>XXXXXX</w:t>
      </w:r>
      <w:r>
        <w:rPr>
          <w:rFonts w:ascii="Arial" w:hAnsi="Arial" w:cs="Arial"/>
          <w:sz w:val="22"/>
          <w:szCs w:val="22"/>
        </w:rPr>
        <w:t xml:space="preserve"> </w:t>
      </w:r>
    </w:p>
    <w:p w:rsidR="00723ACD" w:rsidRDefault="00723ACD" w:rsidP="00723ACD">
      <w:pPr>
        <w:jc w:val="both"/>
        <w:rPr>
          <w:rFonts w:ascii="Arial" w:hAnsi="Arial" w:cs="Arial"/>
          <w:b/>
          <w:sz w:val="22"/>
          <w:szCs w:val="22"/>
        </w:rPr>
      </w:pPr>
      <w:r>
        <w:rPr>
          <w:rFonts w:ascii="Arial" w:hAnsi="Arial" w:cs="Arial"/>
          <w:b/>
          <w:sz w:val="22"/>
          <w:szCs w:val="22"/>
        </w:rPr>
        <w:t>(dále jen „nájemci“)</w:t>
      </w:r>
    </w:p>
    <w:p w:rsidR="00723ACD" w:rsidRDefault="00723ACD" w:rsidP="00723ACD">
      <w:pPr>
        <w:pStyle w:val="adresa"/>
        <w:tabs>
          <w:tab w:val="left" w:pos="120"/>
        </w:tabs>
        <w:ind w:left="505" w:hanging="505"/>
        <w:rPr>
          <w:rFonts w:ascii="Arial" w:hAnsi="Arial" w:cs="Arial"/>
          <w:sz w:val="22"/>
          <w:szCs w:val="22"/>
        </w:rPr>
      </w:pPr>
    </w:p>
    <w:p w:rsidR="00723ACD" w:rsidRDefault="00723ACD" w:rsidP="00723ACD">
      <w:pPr>
        <w:pStyle w:val="obec"/>
        <w:tabs>
          <w:tab w:val="left" w:pos="708"/>
        </w:tabs>
        <w:jc w:val="both"/>
        <w:rPr>
          <w:rFonts w:ascii="Arial" w:hAnsi="Arial" w:cs="Arial"/>
          <w:sz w:val="22"/>
          <w:szCs w:val="22"/>
        </w:rPr>
      </w:pPr>
    </w:p>
    <w:p w:rsidR="00723ACD" w:rsidRDefault="00723ACD" w:rsidP="00723ACD">
      <w:pPr>
        <w:pStyle w:val="Zkladntext"/>
        <w:rPr>
          <w:rFonts w:ascii="Arial" w:hAnsi="Arial" w:cs="Arial"/>
          <w:b w:val="0"/>
          <w:sz w:val="22"/>
          <w:szCs w:val="22"/>
        </w:rPr>
      </w:pPr>
      <w:r>
        <w:rPr>
          <w:rFonts w:ascii="Arial" w:hAnsi="Arial" w:cs="Arial"/>
          <w:b w:val="0"/>
          <w:sz w:val="22"/>
          <w:szCs w:val="22"/>
        </w:rPr>
        <w:t xml:space="preserve">uzavírají podle ustanovení § 2201 a násl. zákona č. 89/2012 Sb., občanský zákoník, ve znění pozdějších předpisů (dále jen „zákon č. 89/2012 Sb.“), a podle ustanovení § 27 zákona </w:t>
      </w:r>
      <w:r>
        <w:rPr>
          <w:rFonts w:ascii="Arial" w:hAnsi="Arial" w:cs="Arial"/>
          <w:b w:val="0"/>
          <w:sz w:val="22"/>
          <w:szCs w:val="22"/>
        </w:rPr>
        <w:br/>
        <w:t>č. 219/2000 Sb., o majetku České republiky a jejím vystupování v právních vztazích, ve znění pozdějších předpisů (dále jen „zákon č. 219/2000 Sb.“), tuto</w:t>
      </w:r>
    </w:p>
    <w:p w:rsidR="00723ACD" w:rsidRDefault="00723ACD" w:rsidP="00723ACD">
      <w:pPr>
        <w:pStyle w:val="Zkladntext"/>
        <w:rPr>
          <w:rFonts w:ascii="Arial" w:hAnsi="Arial" w:cs="Arial"/>
          <w:sz w:val="22"/>
          <w:szCs w:val="22"/>
        </w:rPr>
      </w:pPr>
    </w:p>
    <w:p w:rsidR="00723ACD" w:rsidRDefault="00723ACD" w:rsidP="00723ACD">
      <w:pPr>
        <w:pStyle w:val="Zkladntext"/>
        <w:rPr>
          <w:rFonts w:ascii="Arial" w:hAnsi="Arial" w:cs="Arial"/>
          <w:sz w:val="22"/>
          <w:szCs w:val="22"/>
        </w:rPr>
      </w:pPr>
    </w:p>
    <w:p w:rsidR="00723ACD" w:rsidRDefault="00723ACD" w:rsidP="00723ACD">
      <w:pPr>
        <w:pStyle w:val="Zkladntext"/>
        <w:rPr>
          <w:rFonts w:ascii="Arial" w:hAnsi="Arial" w:cs="Arial"/>
          <w:sz w:val="22"/>
          <w:szCs w:val="22"/>
        </w:rPr>
      </w:pPr>
    </w:p>
    <w:p w:rsidR="00723ACD" w:rsidRDefault="00723ACD" w:rsidP="00723ACD">
      <w:pPr>
        <w:pStyle w:val="para"/>
        <w:outlineLvl w:val="0"/>
        <w:rPr>
          <w:rFonts w:ascii="Arial" w:hAnsi="Arial" w:cs="Arial"/>
          <w:spacing w:val="60"/>
          <w:sz w:val="28"/>
          <w:szCs w:val="28"/>
        </w:rPr>
      </w:pPr>
      <w:r>
        <w:rPr>
          <w:rFonts w:ascii="Arial" w:hAnsi="Arial" w:cs="Arial"/>
          <w:spacing w:val="60"/>
          <w:sz w:val="28"/>
          <w:szCs w:val="28"/>
        </w:rPr>
        <w:t>SMLOUVU</w:t>
      </w:r>
    </w:p>
    <w:p w:rsidR="00723ACD" w:rsidRDefault="00723ACD" w:rsidP="00723ACD">
      <w:pPr>
        <w:pStyle w:val="para"/>
        <w:rPr>
          <w:rFonts w:ascii="Arial" w:hAnsi="Arial" w:cs="Arial"/>
          <w:spacing w:val="60"/>
          <w:sz w:val="28"/>
          <w:szCs w:val="28"/>
        </w:rPr>
      </w:pPr>
      <w:r>
        <w:rPr>
          <w:rFonts w:ascii="Arial" w:hAnsi="Arial" w:cs="Arial"/>
          <w:spacing w:val="60"/>
          <w:sz w:val="28"/>
          <w:szCs w:val="28"/>
        </w:rPr>
        <w:t>O NÁJMU NEMOVITÝCH VĚCÍ</w:t>
      </w:r>
    </w:p>
    <w:p w:rsidR="00723ACD" w:rsidRDefault="00723ACD" w:rsidP="00723ACD">
      <w:pPr>
        <w:pStyle w:val="para"/>
        <w:rPr>
          <w:rFonts w:ascii="Arial" w:hAnsi="Arial" w:cs="Arial"/>
          <w:spacing w:val="60"/>
          <w:sz w:val="28"/>
          <w:szCs w:val="28"/>
        </w:rPr>
      </w:pPr>
      <w:r>
        <w:rPr>
          <w:rFonts w:ascii="Arial" w:hAnsi="Arial" w:cs="Arial"/>
          <w:spacing w:val="60"/>
          <w:sz w:val="28"/>
          <w:szCs w:val="28"/>
        </w:rPr>
        <w:t>č. UZSVM/S/19259/2020-HMSU</w:t>
      </w:r>
    </w:p>
    <w:p w:rsidR="00723ACD" w:rsidRDefault="00723ACD" w:rsidP="00723ACD">
      <w:pPr>
        <w:pStyle w:val="para"/>
        <w:tabs>
          <w:tab w:val="center" w:pos="4536"/>
          <w:tab w:val="left" w:pos="5222"/>
        </w:tabs>
        <w:rPr>
          <w:rFonts w:ascii="Arial" w:hAnsi="Arial" w:cs="Arial"/>
          <w:b w:val="0"/>
          <w:sz w:val="22"/>
          <w:szCs w:val="22"/>
        </w:rPr>
      </w:pPr>
    </w:p>
    <w:p w:rsidR="00723ACD" w:rsidRDefault="00723ACD" w:rsidP="00723ACD">
      <w:pPr>
        <w:pStyle w:val="para"/>
        <w:tabs>
          <w:tab w:val="center" w:pos="4536"/>
          <w:tab w:val="left" w:pos="5222"/>
        </w:tabs>
        <w:jc w:val="left"/>
        <w:rPr>
          <w:rFonts w:ascii="Arial" w:hAnsi="Arial" w:cs="Arial"/>
          <w:b w:val="0"/>
          <w:sz w:val="22"/>
          <w:szCs w:val="22"/>
        </w:rPr>
      </w:pPr>
    </w:p>
    <w:p w:rsidR="00723ACD" w:rsidRDefault="00723ACD" w:rsidP="00723ACD">
      <w:pPr>
        <w:pStyle w:val="para"/>
        <w:tabs>
          <w:tab w:val="center" w:pos="4536"/>
          <w:tab w:val="left" w:pos="5222"/>
        </w:tabs>
        <w:spacing w:before="120"/>
        <w:rPr>
          <w:rFonts w:ascii="Arial" w:hAnsi="Arial" w:cs="Arial"/>
          <w:sz w:val="22"/>
          <w:szCs w:val="22"/>
        </w:rPr>
      </w:pPr>
      <w:r>
        <w:rPr>
          <w:rFonts w:ascii="Arial" w:hAnsi="Arial" w:cs="Arial"/>
          <w:sz w:val="22"/>
          <w:szCs w:val="22"/>
        </w:rPr>
        <w:t>Čl. I.</w:t>
      </w:r>
    </w:p>
    <w:p w:rsidR="00723ACD" w:rsidRDefault="00723ACD" w:rsidP="00723ACD">
      <w:pPr>
        <w:pStyle w:val="Textvbloku"/>
        <w:numPr>
          <w:ilvl w:val="0"/>
          <w:numId w:val="1"/>
        </w:numPr>
        <w:spacing w:before="120"/>
        <w:ind w:left="357" w:right="0" w:hanging="357"/>
        <w:rPr>
          <w:rFonts w:ascii="Arial" w:hAnsi="Arial" w:cs="Arial"/>
          <w:sz w:val="22"/>
          <w:szCs w:val="22"/>
        </w:rPr>
      </w:pPr>
      <w:r>
        <w:rPr>
          <w:rFonts w:ascii="Arial" w:hAnsi="Arial" w:cs="Arial"/>
          <w:sz w:val="22"/>
          <w:szCs w:val="22"/>
        </w:rPr>
        <w:t>Česká republika je vlastníkem níže uvedených nemovitých věcí:</w:t>
      </w:r>
    </w:p>
    <w:p w:rsidR="00723ACD" w:rsidRDefault="00723ACD" w:rsidP="00723ACD">
      <w:pPr>
        <w:pStyle w:val="para"/>
        <w:tabs>
          <w:tab w:val="clear" w:pos="709"/>
          <w:tab w:val="center" w:pos="4536"/>
          <w:tab w:val="left" w:pos="5222"/>
        </w:tabs>
        <w:spacing w:before="120"/>
        <w:ind w:left="357"/>
        <w:jc w:val="both"/>
        <w:rPr>
          <w:rFonts w:ascii="Arial" w:hAnsi="Arial" w:cs="Arial"/>
          <w:color w:val="000000"/>
          <w:sz w:val="22"/>
          <w:szCs w:val="22"/>
          <w:u w:val="single"/>
        </w:rPr>
      </w:pPr>
      <w:r>
        <w:rPr>
          <w:rFonts w:ascii="Arial" w:hAnsi="Arial" w:cs="Arial"/>
          <w:color w:val="000000"/>
          <w:sz w:val="22"/>
          <w:szCs w:val="22"/>
          <w:u w:val="single"/>
        </w:rPr>
        <w:t>Pozemky:</w:t>
      </w:r>
    </w:p>
    <w:p w:rsidR="00723ACD" w:rsidRDefault="00723ACD" w:rsidP="00723ACD">
      <w:pPr>
        <w:pStyle w:val="Normlnweb"/>
        <w:numPr>
          <w:ilvl w:val="0"/>
          <w:numId w:val="2"/>
        </w:numPr>
        <w:spacing w:before="120" w:beforeAutospacing="0" w:after="0" w:afterAutospacing="0"/>
        <w:ind w:left="567" w:hanging="283"/>
        <w:jc w:val="both"/>
        <w:rPr>
          <w:rFonts w:ascii="Arial" w:hAnsi="Arial" w:cs="Arial"/>
          <w:color w:val="000000"/>
          <w:sz w:val="22"/>
          <w:szCs w:val="22"/>
        </w:rPr>
      </w:pPr>
      <w:r>
        <w:rPr>
          <w:rFonts w:ascii="Arial" w:hAnsi="Arial" w:cs="Arial"/>
          <w:color w:val="000000"/>
          <w:sz w:val="22"/>
          <w:szCs w:val="22"/>
        </w:rPr>
        <w:t>pozemek stavební parcela č. 130 o výměře 148 m², zastavěná plocha a nádvoří, součástí je stavba: Pikovice, č.p. 35, rod. dům, stavba stojí na pozemku p. č. st. 130,</w:t>
      </w:r>
    </w:p>
    <w:p w:rsidR="00723ACD" w:rsidRDefault="00723ACD" w:rsidP="00723ACD">
      <w:pPr>
        <w:pStyle w:val="Normlnweb"/>
        <w:numPr>
          <w:ilvl w:val="0"/>
          <w:numId w:val="2"/>
        </w:numPr>
        <w:spacing w:before="120" w:beforeAutospacing="0" w:after="0" w:afterAutospacing="0"/>
        <w:ind w:left="567" w:hanging="283"/>
        <w:jc w:val="both"/>
        <w:rPr>
          <w:rFonts w:ascii="Arial" w:hAnsi="Arial" w:cs="Arial"/>
          <w:color w:val="000000"/>
          <w:sz w:val="22"/>
          <w:szCs w:val="22"/>
        </w:rPr>
      </w:pPr>
      <w:r>
        <w:rPr>
          <w:rFonts w:ascii="Arial" w:hAnsi="Arial" w:cs="Arial"/>
          <w:color w:val="000000"/>
          <w:sz w:val="22"/>
          <w:szCs w:val="22"/>
        </w:rPr>
        <w:t>pozemek stavební parcela č. 2588 o výměře 29 m², zastavěná plocha a nádvoří, součástí je stavba: bez čp/</w:t>
      </w:r>
      <w:proofErr w:type="spellStart"/>
      <w:r>
        <w:rPr>
          <w:rFonts w:ascii="Arial" w:hAnsi="Arial" w:cs="Arial"/>
          <w:color w:val="000000"/>
          <w:sz w:val="22"/>
          <w:szCs w:val="22"/>
        </w:rPr>
        <w:t>če</w:t>
      </w:r>
      <w:proofErr w:type="spellEnd"/>
      <w:r>
        <w:rPr>
          <w:rFonts w:ascii="Arial" w:hAnsi="Arial" w:cs="Arial"/>
          <w:color w:val="000000"/>
          <w:sz w:val="22"/>
          <w:szCs w:val="22"/>
        </w:rPr>
        <w:t>, garáž, stavba stojí na pozemku p. č. st. 2588,</w:t>
      </w:r>
    </w:p>
    <w:p w:rsidR="00723ACD" w:rsidRDefault="00723ACD" w:rsidP="00723ACD">
      <w:pPr>
        <w:pStyle w:val="Normlnweb"/>
        <w:numPr>
          <w:ilvl w:val="0"/>
          <w:numId w:val="3"/>
        </w:numPr>
        <w:spacing w:before="120" w:beforeAutospacing="0" w:after="0" w:afterAutospacing="0"/>
        <w:ind w:left="567" w:hanging="283"/>
        <w:jc w:val="both"/>
        <w:rPr>
          <w:rFonts w:ascii="Arial" w:hAnsi="Arial" w:cs="Arial"/>
          <w:color w:val="000000"/>
          <w:sz w:val="22"/>
          <w:szCs w:val="22"/>
        </w:rPr>
      </w:pPr>
      <w:r>
        <w:rPr>
          <w:rFonts w:ascii="Arial" w:hAnsi="Arial" w:cs="Arial"/>
          <w:color w:val="000000"/>
          <w:sz w:val="22"/>
          <w:szCs w:val="22"/>
        </w:rPr>
        <w:t xml:space="preserve">pozemek pozemková parcela č. 616/5 o výměře 488 m², zahrada, zemědělský půdní fond, </w:t>
      </w:r>
    </w:p>
    <w:p w:rsidR="00723ACD" w:rsidRDefault="00723ACD" w:rsidP="00723ACD">
      <w:pPr>
        <w:pStyle w:val="Normlnweb"/>
        <w:spacing w:before="120" w:beforeAutospacing="0" w:after="0" w:afterAutospacing="0"/>
        <w:ind w:left="284" w:hanging="283"/>
        <w:jc w:val="both"/>
        <w:rPr>
          <w:rFonts w:ascii="Arial" w:hAnsi="Arial" w:cs="Arial"/>
          <w:color w:val="000000"/>
          <w:sz w:val="22"/>
          <w:szCs w:val="22"/>
        </w:rPr>
      </w:pPr>
      <w:r>
        <w:rPr>
          <w:rFonts w:ascii="Arial" w:hAnsi="Arial" w:cs="Arial"/>
          <w:color w:val="000000"/>
          <w:sz w:val="22"/>
          <w:szCs w:val="22"/>
        </w:rPr>
        <w:t xml:space="preserve">     zapsaných na listu vlastnictví č. 60000 pro katastrální území Hradištko pod Medníkem </w:t>
      </w:r>
      <w:r>
        <w:rPr>
          <w:rFonts w:ascii="Arial" w:hAnsi="Arial" w:cs="Arial"/>
          <w:color w:val="000000"/>
          <w:sz w:val="22"/>
          <w:szCs w:val="22"/>
        </w:rPr>
        <w:br/>
        <w:t xml:space="preserve">a obec Hradištko v katastru nemovitostí vedeném Katastrálním úřadem pro Středočeský kraj, Katastrálním pracovištěm Praha – západ, </w:t>
      </w:r>
    </w:p>
    <w:p w:rsidR="00723ACD" w:rsidRDefault="00723ACD" w:rsidP="00723ACD">
      <w:pPr>
        <w:pStyle w:val="Normlnweb"/>
        <w:spacing w:before="120" w:beforeAutospacing="0" w:after="0" w:afterAutospacing="0"/>
        <w:ind w:left="567" w:hanging="283"/>
        <w:jc w:val="both"/>
        <w:rPr>
          <w:rFonts w:ascii="Arial" w:hAnsi="Arial" w:cs="Arial"/>
          <w:color w:val="000000"/>
          <w:sz w:val="22"/>
          <w:szCs w:val="22"/>
        </w:rPr>
      </w:pPr>
      <w:r>
        <w:rPr>
          <w:rFonts w:ascii="Arial" w:hAnsi="Arial" w:cs="Arial"/>
          <w:color w:val="000000"/>
          <w:sz w:val="22"/>
          <w:szCs w:val="22"/>
        </w:rPr>
        <w:t>včetně součástí a příslušenství staveb, a to:</w:t>
      </w:r>
    </w:p>
    <w:p w:rsidR="00723ACD" w:rsidRDefault="00723ACD" w:rsidP="00723ACD">
      <w:pPr>
        <w:pStyle w:val="Odstavecseseznamem"/>
        <w:numPr>
          <w:ilvl w:val="0"/>
          <w:numId w:val="4"/>
        </w:numPr>
        <w:suppressAutoHyphens/>
        <w:ind w:left="714" w:hanging="357"/>
        <w:jc w:val="both"/>
        <w:rPr>
          <w:rFonts w:ascii="Arial" w:hAnsi="Arial" w:cs="Arial"/>
          <w:sz w:val="22"/>
          <w:szCs w:val="22"/>
        </w:rPr>
      </w:pPr>
      <w:r>
        <w:rPr>
          <w:rFonts w:ascii="Arial" w:hAnsi="Arial" w:cs="Arial"/>
          <w:sz w:val="22"/>
          <w:szCs w:val="22"/>
        </w:rPr>
        <w:t xml:space="preserve">lednice pro domácnost V-188, ER - </w:t>
      </w:r>
      <w:proofErr w:type="gramStart"/>
      <w:r>
        <w:rPr>
          <w:rFonts w:ascii="Arial" w:hAnsi="Arial" w:cs="Arial"/>
          <w:sz w:val="22"/>
          <w:szCs w:val="22"/>
        </w:rPr>
        <w:t>8124-I</w:t>
      </w:r>
      <w:proofErr w:type="gramEnd"/>
      <w:r>
        <w:rPr>
          <w:rFonts w:ascii="Arial" w:hAnsi="Arial" w:cs="Arial"/>
          <w:sz w:val="22"/>
          <w:szCs w:val="22"/>
        </w:rPr>
        <w:t xml:space="preserve"> Electrolux, </w:t>
      </w:r>
      <w:proofErr w:type="spellStart"/>
      <w:r>
        <w:rPr>
          <w:rFonts w:ascii="Arial" w:hAnsi="Arial" w:cs="Arial"/>
          <w:sz w:val="22"/>
          <w:szCs w:val="22"/>
        </w:rPr>
        <w:t>inv</w:t>
      </w:r>
      <w:proofErr w:type="spellEnd"/>
      <w:r>
        <w:rPr>
          <w:rFonts w:ascii="Arial" w:hAnsi="Arial" w:cs="Arial"/>
          <w:sz w:val="22"/>
          <w:szCs w:val="22"/>
        </w:rPr>
        <w:t>. číslo 433063</w:t>
      </w:r>
    </w:p>
    <w:p w:rsidR="00723ACD" w:rsidRDefault="00723ACD" w:rsidP="00723ACD">
      <w:pPr>
        <w:pStyle w:val="Odstavecseseznamem"/>
        <w:numPr>
          <w:ilvl w:val="0"/>
          <w:numId w:val="4"/>
        </w:numPr>
        <w:suppressAutoHyphens/>
        <w:ind w:left="714" w:hanging="357"/>
        <w:jc w:val="both"/>
        <w:rPr>
          <w:rFonts w:ascii="Arial" w:hAnsi="Arial" w:cs="Arial"/>
          <w:sz w:val="22"/>
          <w:szCs w:val="22"/>
        </w:rPr>
      </w:pPr>
      <w:r>
        <w:rPr>
          <w:rFonts w:ascii="Arial" w:hAnsi="Arial" w:cs="Arial"/>
          <w:sz w:val="22"/>
          <w:szCs w:val="22"/>
        </w:rPr>
        <w:t xml:space="preserve">myčka nádobí </w:t>
      </w:r>
      <w:proofErr w:type="spellStart"/>
      <w:r>
        <w:rPr>
          <w:rFonts w:ascii="Arial" w:hAnsi="Arial" w:cs="Arial"/>
          <w:sz w:val="22"/>
          <w:szCs w:val="22"/>
        </w:rPr>
        <w:t>Fagor</w:t>
      </w:r>
      <w:proofErr w:type="spellEnd"/>
      <w:r>
        <w:rPr>
          <w:rFonts w:ascii="Arial" w:hAnsi="Arial" w:cs="Arial"/>
          <w:sz w:val="22"/>
          <w:szCs w:val="22"/>
        </w:rPr>
        <w:t xml:space="preserve"> LV-</w:t>
      </w:r>
      <w:proofErr w:type="gramStart"/>
      <w:r>
        <w:rPr>
          <w:rFonts w:ascii="Arial" w:hAnsi="Arial" w:cs="Arial"/>
          <w:sz w:val="22"/>
          <w:szCs w:val="22"/>
        </w:rPr>
        <w:t>561-I</w:t>
      </w:r>
      <w:proofErr w:type="gramEnd"/>
      <w:r>
        <w:rPr>
          <w:rFonts w:ascii="Arial" w:hAnsi="Arial" w:cs="Arial"/>
          <w:sz w:val="22"/>
          <w:szCs w:val="22"/>
        </w:rPr>
        <w:t xml:space="preserve">, </w:t>
      </w:r>
      <w:proofErr w:type="spellStart"/>
      <w:r>
        <w:rPr>
          <w:rFonts w:ascii="Arial" w:hAnsi="Arial" w:cs="Arial"/>
          <w:sz w:val="22"/>
          <w:szCs w:val="22"/>
        </w:rPr>
        <w:t>inv</w:t>
      </w:r>
      <w:proofErr w:type="spellEnd"/>
      <w:r>
        <w:rPr>
          <w:rFonts w:ascii="Arial" w:hAnsi="Arial" w:cs="Arial"/>
          <w:sz w:val="22"/>
          <w:szCs w:val="22"/>
        </w:rPr>
        <w:t>. číslo 466062,</w:t>
      </w:r>
    </w:p>
    <w:p w:rsidR="00723ACD" w:rsidRDefault="00723ACD" w:rsidP="00723ACD">
      <w:pPr>
        <w:pStyle w:val="Odstavecseseznamem"/>
        <w:numPr>
          <w:ilvl w:val="0"/>
          <w:numId w:val="4"/>
        </w:numPr>
        <w:suppressAutoHyphens/>
        <w:ind w:left="714" w:hanging="357"/>
        <w:jc w:val="both"/>
        <w:rPr>
          <w:rFonts w:ascii="Arial" w:hAnsi="Arial" w:cs="Arial"/>
          <w:sz w:val="22"/>
          <w:szCs w:val="22"/>
        </w:rPr>
      </w:pPr>
      <w:r>
        <w:rPr>
          <w:rFonts w:ascii="Arial" w:hAnsi="Arial" w:cs="Arial"/>
          <w:sz w:val="22"/>
          <w:szCs w:val="22"/>
        </w:rPr>
        <w:t>3x hasicí přístroj</w:t>
      </w:r>
    </w:p>
    <w:p w:rsidR="00723ACD" w:rsidRDefault="00723ACD" w:rsidP="00723ACD">
      <w:pPr>
        <w:pStyle w:val="Odstavecseseznamem"/>
        <w:numPr>
          <w:ilvl w:val="0"/>
          <w:numId w:val="4"/>
        </w:numPr>
        <w:suppressAutoHyphens/>
        <w:ind w:left="714" w:hanging="357"/>
        <w:jc w:val="both"/>
        <w:rPr>
          <w:rFonts w:ascii="Arial" w:hAnsi="Arial" w:cs="Arial"/>
          <w:sz w:val="22"/>
          <w:szCs w:val="22"/>
        </w:rPr>
      </w:pPr>
      <w:r>
        <w:rPr>
          <w:rFonts w:ascii="Arial" w:hAnsi="Arial" w:cs="Arial"/>
          <w:sz w:val="22"/>
          <w:szCs w:val="22"/>
        </w:rPr>
        <w:t>elektrický boiler</w:t>
      </w:r>
    </w:p>
    <w:p w:rsidR="00723ACD" w:rsidRDefault="00723ACD" w:rsidP="00723ACD">
      <w:pPr>
        <w:pStyle w:val="Odstavecseseznamem"/>
        <w:numPr>
          <w:ilvl w:val="0"/>
          <w:numId w:val="4"/>
        </w:numPr>
        <w:suppressAutoHyphens/>
        <w:ind w:left="714" w:hanging="357"/>
        <w:jc w:val="both"/>
        <w:rPr>
          <w:rFonts w:ascii="Arial" w:hAnsi="Arial" w:cs="Arial"/>
          <w:sz w:val="22"/>
          <w:szCs w:val="22"/>
        </w:rPr>
      </w:pPr>
      <w:r>
        <w:rPr>
          <w:rFonts w:ascii="Arial" w:hAnsi="Arial" w:cs="Arial"/>
          <w:sz w:val="22"/>
          <w:szCs w:val="22"/>
        </w:rPr>
        <w:t xml:space="preserve">kuchyňská linka </w:t>
      </w:r>
    </w:p>
    <w:p w:rsidR="00723ACD" w:rsidRDefault="00723ACD" w:rsidP="00723ACD">
      <w:pPr>
        <w:pStyle w:val="Odstavecseseznamem"/>
        <w:numPr>
          <w:ilvl w:val="0"/>
          <w:numId w:val="4"/>
        </w:numPr>
        <w:suppressAutoHyphens/>
        <w:ind w:left="714" w:hanging="357"/>
        <w:jc w:val="both"/>
        <w:rPr>
          <w:rFonts w:ascii="Arial" w:hAnsi="Arial" w:cs="Arial"/>
          <w:sz w:val="22"/>
          <w:szCs w:val="22"/>
        </w:rPr>
      </w:pPr>
      <w:r>
        <w:rPr>
          <w:rFonts w:ascii="Arial" w:hAnsi="Arial" w:cs="Arial"/>
          <w:sz w:val="22"/>
          <w:szCs w:val="22"/>
        </w:rPr>
        <w:t xml:space="preserve">plynový kotel </w:t>
      </w:r>
    </w:p>
    <w:p w:rsidR="00723ACD" w:rsidRDefault="00723ACD" w:rsidP="00723ACD">
      <w:pPr>
        <w:pStyle w:val="Odstavecseseznamem"/>
        <w:numPr>
          <w:ilvl w:val="0"/>
          <w:numId w:val="4"/>
        </w:numPr>
        <w:suppressAutoHyphens/>
        <w:ind w:left="714" w:hanging="357"/>
        <w:jc w:val="both"/>
        <w:rPr>
          <w:rFonts w:ascii="Arial" w:hAnsi="Arial" w:cs="Arial"/>
          <w:sz w:val="22"/>
          <w:szCs w:val="22"/>
        </w:rPr>
      </w:pPr>
      <w:r>
        <w:rPr>
          <w:rFonts w:ascii="Arial" w:hAnsi="Arial" w:cs="Arial"/>
          <w:sz w:val="22"/>
          <w:szCs w:val="22"/>
        </w:rPr>
        <w:t>varný panel</w:t>
      </w:r>
    </w:p>
    <w:p w:rsidR="00723ACD" w:rsidRDefault="00723ACD" w:rsidP="00723ACD">
      <w:pPr>
        <w:pStyle w:val="Odstavecseseznamem"/>
        <w:numPr>
          <w:ilvl w:val="0"/>
          <w:numId w:val="4"/>
        </w:numPr>
        <w:suppressAutoHyphens/>
        <w:ind w:left="714" w:hanging="357"/>
        <w:jc w:val="both"/>
        <w:rPr>
          <w:rFonts w:ascii="Arial" w:hAnsi="Arial" w:cs="Arial"/>
          <w:sz w:val="22"/>
          <w:szCs w:val="22"/>
        </w:rPr>
      </w:pPr>
      <w:r>
        <w:rPr>
          <w:rFonts w:ascii="Arial" w:hAnsi="Arial" w:cs="Arial"/>
          <w:sz w:val="22"/>
          <w:szCs w:val="22"/>
        </w:rPr>
        <w:t xml:space="preserve">horkovzdušná trouba   </w:t>
      </w:r>
    </w:p>
    <w:p w:rsidR="00723ACD" w:rsidRDefault="00723ACD" w:rsidP="00723ACD">
      <w:pPr>
        <w:suppressAutoHyphens/>
        <w:ind w:left="357"/>
        <w:jc w:val="both"/>
        <w:rPr>
          <w:rFonts w:ascii="Arial" w:hAnsi="Arial" w:cs="Arial"/>
          <w:sz w:val="22"/>
          <w:szCs w:val="22"/>
        </w:rPr>
      </w:pPr>
    </w:p>
    <w:p w:rsidR="00723ACD" w:rsidRDefault="00723ACD" w:rsidP="00723ACD">
      <w:pPr>
        <w:pStyle w:val="Odstavecseseznamem"/>
        <w:numPr>
          <w:ilvl w:val="0"/>
          <w:numId w:val="1"/>
        </w:numPr>
        <w:suppressAutoHyphens/>
        <w:jc w:val="both"/>
        <w:rPr>
          <w:rFonts w:ascii="Arial" w:hAnsi="Arial" w:cs="Arial"/>
          <w:sz w:val="22"/>
          <w:szCs w:val="22"/>
        </w:rPr>
      </w:pPr>
      <w:r>
        <w:rPr>
          <w:rFonts w:ascii="Arial" w:hAnsi="Arial" w:cs="Arial"/>
          <w:sz w:val="22"/>
          <w:szCs w:val="22"/>
        </w:rPr>
        <w:t>Rodinný dům Pikovice čp. 35</w:t>
      </w:r>
      <w:r>
        <w:rPr>
          <w:rFonts w:ascii="Arial" w:hAnsi="Arial" w:cs="Arial"/>
          <w:b/>
          <w:sz w:val="22"/>
          <w:szCs w:val="22"/>
        </w:rPr>
        <w:t xml:space="preserve"> </w:t>
      </w:r>
      <w:r>
        <w:rPr>
          <w:rFonts w:ascii="Arial" w:hAnsi="Arial" w:cs="Arial"/>
          <w:sz w:val="22"/>
          <w:szCs w:val="22"/>
        </w:rPr>
        <w:t xml:space="preserve">a garáž se stavební pozemky a zahradou uvedené </w:t>
      </w:r>
      <w:r>
        <w:rPr>
          <w:rFonts w:ascii="Arial" w:hAnsi="Arial" w:cs="Arial"/>
          <w:sz w:val="22"/>
          <w:szCs w:val="22"/>
        </w:rPr>
        <w:br/>
        <w:t xml:space="preserve">v Čl. I. odst. 1. této smlouvy (dále jen „nemovité věci“) tvoří jeden funkční celek určený </w:t>
      </w:r>
      <w:r>
        <w:rPr>
          <w:rFonts w:ascii="Arial" w:hAnsi="Arial" w:cs="Arial"/>
          <w:sz w:val="22"/>
          <w:szCs w:val="22"/>
        </w:rPr>
        <w:br/>
        <w:t xml:space="preserve">ke společnému užívání. </w:t>
      </w:r>
    </w:p>
    <w:p w:rsidR="00723ACD" w:rsidRDefault="00723ACD" w:rsidP="00723ACD">
      <w:pPr>
        <w:pStyle w:val="para"/>
        <w:numPr>
          <w:ilvl w:val="0"/>
          <w:numId w:val="1"/>
        </w:numPr>
        <w:tabs>
          <w:tab w:val="clear" w:pos="709"/>
          <w:tab w:val="center" w:pos="4536"/>
          <w:tab w:val="left" w:pos="5222"/>
        </w:tabs>
        <w:spacing w:before="120"/>
        <w:jc w:val="both"/>
        <w:rPr>
          <w:rFonts w:ascii="Arial" w:hAnsi="Arial" w:cs="Arial"/>
          <w:b w:val="0"/>
          <w:bCs/>
          <w:i/>
          <w:sz w:val="22"/>
          <w:szCs w:val="22"/>
          <w:u w:val="single"/>
        </w:rPr>
      </w:pPr>
      <w:r>
        <w:rPr>
          <w:rFonts w:ascii="Arial" w:hAnsi="Arial" w:cs="Arial"/>
          <w:b w:val="0"/>
          <w:sz w:val="22"/>
          <w:szCs w:val="22"/>
        </w:rPr>
        <w:tab/>
        <w:t xml:space="preserve">Úřad pro </w:t>
      </w:r>
      <w:proofErr w:type="gramStart"/>
      <w:r>
        <w:rPr>
          <w:rFonts w:ascii="Arial" w:hAnsi="Arial" w:cs="Arial"/>
          <w:b w:val="0"/>
          <w:sz w:val="22"/>
          <w:szCs w:val="22"/>
        </w:rPr>
        <w:t xml:space="preserve">zastupování </w:t>
      </w:r>
      <w:r>
        <w:rPr>
          <w:rFonts w:ascii="Arial" w:hAnsi="Arial" w:cs="Arial"/>
          <w:b w:val="0"/>
          <w:sz w:val="22"/>
          <w:szCs w:val="22"/>
        </w:rPr>
        <w:t xml:space="preserve"> </w:t>
      </w:r>
      <w:r>
        <w:rPr>
          <w:rFonts w:ascii="Arial" w:hAnsi="Arial" w:cs="Arial"/>
          <w:b w:val="0"/>
          <w:sz w:val="22"/>
          <w:szCs w:val="22"/>
        </w:rPr>
        <w:t>státu</w:t>
      </w:r>
      <w:proofErr w:type="gramEnd"/>
      <w:r>
        <w:rPr>
          <w:rFonts w:ascii="Arial" w:hAnsi="Arial" w:cs="Arial"/>
          <w:b w:val="0"/>
          <w:sz w:val="22"/>
          <w:szCs w:val="22"/>
        </w:rPr>
        <w:t xml:space="preserve"> ve věcech </w:t>
      </w:r>
      <w:r>
        <w:rPr>
          <w:rFonts w:ascii="Arial" w:hAnsi="Arial" w:cs="Arial"/>
          <w:b w:val="0"/>
          <w:sz w:val="22"/>
          <w:szCs w:val="22"/>
        </w:rPr>
        <w:t xml:space="preserve"> </w:t>
      </w:r>
      <w:r>
        <w:rPr>
          <w:rFonts w:ascii="Arial" w:hAnsi="Arial" w:cs="Arial"/>
          <w:b w:val="0"/>
          <w:sz w:val="22"/>
          <w:szCs w:val="22"/>
        </w:rPr>
        <w:t xml:space="preserve">majetkových je na základě </w:t>
      </w:r>
      <w:r>
        <w:rPr>
          <w:rFonts w:ascii="Arial" w:hAnsi="Arial" w:cs="Arial"/>
          <w:b w:val="0"/>
          <w:sz w:val="22"/>
          <w:szCs w:val="22"/>
        </w:rPr>
        <w:t xml:space="preserve"> </w:t>
      </w:r>
      <w:r>
        <w:rPr>
          <w:rFonts w:ascii="Arial" w:hAnsi="Arial" w:cs="Arial"/>
          <w:b w:val="0"/>
          <w:sz w:val="22"/>
          <w:szCs w:val="22"/>
        </w:rPr>
        <w:t xml:space="preserve">Zápisu o </w:t>
      </w:r>
      <w:r>
        <w:rPr>
          <w:rFonts w:ascii="Arial" w:hAnsi="Arial" w:cs="Arial"/>
          <w:b w:val="0"/>
          <w:sz w:val="22"/>
          <w:szCs w:val="22"/>
        </w:rPr>
        <w:t xml:space="preserve"> </w:t>
      </w:r>
      <w:r>
        <w:rPr>
          <w:rFonts w:ascii="Arial" w:hAnsi="Arial" w:cs="Arial"/>
          <w:b w:val="0"/>
          <w:sz w:val="22"/>
          <w:szCs w:val="22"/>
        </w:rPr>
        <w:t xml:space="preserve">předání majetku </w:t>
      </w:r>
      <w:r>
        <w:rPr>
          <w:rFonts w:ascii="Arial" w:hAnsi="Arial" w:cs="Arial"/>
          <w:b w:val="0"/>
          <w:sz w:val="22"/>
          <w:szCs w:val="22"/>
        </w:rPr>
        <w:br/>
        <w:t xml:space="preserve">a o změně příslušnosti hospodařit s majetkem státu č. UZSVMS/4242/2020-HMSU ze dne </w:t>
      </w:r>
      <w:r>
        <w:rPr>
          <w:rFonts w:ascii="Arial" w:hAnsi="Arial" w:cs="Arial"/>
          <w:b w:val="0"/>
          <w:sz w:val="22"/>
          <w:szCs w:val="22"/>
        </w:rPr>
        <w:br/>
        <w:t>7. 5. 2020</w:t>
      </w:r>
      <w:r>
        <w:rPr>
          <w:rFonts w:ascii="Arial" w:hAnsi="Arial" w:cs="Arial"/>
          <w:sz w:val="22"/>
          <w:szCs w:val="22"/>
        </w:rPr>
        <w:t xml:space="preserve"> </w:t>
      </w:r>
      <w:r>
        <w:rPr>
          <w:rFonts w:ascii="Arial" w:hAnsi="Arial" w:cs="Arial"/>
          <w:b w:val="0"/>
          <w:sz w:val="22"/>
          <w:szCs w:val="22"/>
        </w:rPr>
        <w:t xml:space="preserve">příslušný s nemovitými věcmi od 1. 6. 2020 hospodařit, a to ve smyslu </w:t>
      </w:r>
      <w:r>
        <w:rPr>
          <w:rFonts w:ascii="Arial" w:hAnsi="Arial" w:cs="Arial"/>
          <w:b w:val="0"/>
          <w:sz w:val="22"/>
          <w:szCs w:val="22"/>
        </w:rPr>
        <w:br/>
        <w:t xml:space="preserve">§ 9 zákona č. 219/2000 Sb. </w:t>
      </w:r>
    </w:p>
    <w:p w:rsidR="00723ACD" w:rsidRDefault="00723ACD" w:rsidP="00723ACD">
      <w:pPr>
        <w:pStyle w:val="para"/>
        <w:tabs>
          <w:tab w:val="clear" w:pos="709"/>
          <w:tab w:val="center" w:pos="4536"/>
          <w:tab w:val="left" w:pos="5222"/>
        </w:tabs>
        <w:spacing w:before="120"/>
        <w:jc w:val="both"/>
        <w:rPr>
          <w:rFonts w:ascii="Arial" w:hAnsi="Arial" w:cs="Arial"/>
          <w:b w:val="0"/>
          <w:bCs/>
          <w:i/>
          <w:sz w:val="22"/>
          <w:szCs w:val="22"/>
          <w:u w:val="single"/>
        </w:rPr>
      </w:pPr>
    </w:p>
    <w:p w:rsidR="00723ACD" w:rsidRDefault="00723ACD" w:rsidP="00723ACD">
      <w:pPr>
        <w:pStyle w:val="para"/>
        <w:tabs>
          <w:tab w:val="center" w:pos="4536"/>
          <w:tab w:val="left" w:pos="5222"/>
        </w:tabs>
        <w:spacing w:before="120"/>
        <w:rPr>
          <w:rFonts w:ascii="Arial" w:hAnsi="Arial" w:cs="Arial"/>
          <w:color w:val="5B9BD5" w:themeColor="accent5"/>
          <w:sz w:val="22"/>
          <w:szCs w:val="22"/>
        </w:rPr>
      </w:pPr>
      <w:r>
        <w:rPr>
          <w:rFonts w:ascii="Arial" w:hAnsi="Arial" w:cs="Arial"/>
          <w:sz w:val="22"/>
          <w:szCs w:val="22"/>
        </w:rPr>
        <w:t xml:space="preserve">Čl. II.   </w:t>
      </w:r>
    </w:p>
    <w:p w:rsidR="00723ACD" w:rsidRDefault="00723ACD" w:rsidP="00723ACD">
      <w:pPr>
        <w:pStyle w:val="para"/>
        <w:numPr>
          <w:ilvl w:val="0"/>
          <w:numId w:val="5"/>
        </w:numPr>
        <w:spacing w:before="120"/>
        <w:ind w:left="357" w:hanging="357"/>
        <w:jc w:val="both"/>
        <w:rPr>
          <w:rFonts w:ascii="Arial" w:hAnsi="Arial" w:cs="Arial"/>
          <w:sz w:val="22"/>
          <w:szCs w:val="22"/>
        </w:rPr>
      </w:pPr>
      <w:r>
        <w:rPr>
          <w:rFonts w:ascii="Arial" w:hAnsi="Arial" w:cs="Arial"/>
          <w:b w:val="0"/>
          <w:color w:val="000000"/>
          <w:sz w:val="22"/>
          <w:szCs w:val="22"/>
        </w:rPr>
        <w:t xml:space="preserve">Pronajímatel výše uvedené nemovité věci podle </w:t>
      </w:r>
      <w:r>
        <w:rPr>
          <w:rFonts w:ascii="Arial" w:hAnsi="Arial" w:cs="Arial"/>
          <w:b w:val="0"/>
          <w:sz w:val="22"/>
          <w:szCs w:val="22"/>
        </w:rPr>
        <w:t xml:space="preserve">rozhodnutí o trvalé nepotřebnosti vydaného podle § 14 odst. 7 zákona č. 219/2000 Sb. dne 12. 6. 2020 pod č. j. UZSVM/S/8656/2020-HMSU </w:t>
      </w:r>
      <w:r>
        <w:rPr>
          <w:rFonts w:ascii="Arial" w:hAnsi="Arial" w:cs="Arial"/>
          <w:b w:val="0"/>
          <w:color w:val="000000"/>
          <w:sz w:val="22"/>
          <w:szCs w:val="22"/>
        </w:rPr>
        <w:t>nepotřebuje k plnění funkcí státu nebo jiných úkolů v rámci své působnosti ve smyslu ustanovení § 27 odst. 1 zákona č. 219/2000 Sb.</w:t>
      </w:r>
    </w:p>
    <w:p w:rsidR="00723ACD" w:rsidRDefault="00723ACD" w:rsidP="00723ACD">
      <w:pPr>
        <w:pStyle w:val="Textvbloku"/>
        <w:numPr>
          <w:ilvl w:val="0"/>
          <w:numId w:val="5"/>
        </w:numPr>
        <w:spacing w:before="120"/>
        <w:ind w:left="426" w:right="0" w:hanging="426"/>
        <w:rPr>
          <w:rFonts w:ascii="Arial" w:hAnsi="Arial" w:cs="Arial"/>
          <w:sz w:val="22"/>
          <w:szCs w:val="22"/>
        </w:rPr>
      </w:pPr>
      <w:r>
        <w:rPr>
          <w:rFonts w:ascii="Arial" w:hAnsi="Arial" w:cs="Arial"/>
          <w:sz w:val="22"/>
          <w:szCs w:val="22"/>
        </w:rPr>
        <w:t xml:space="preserve">Pronajímatel se touto smlouvou zavazuje přenechat nájemcům nemovité věci </w:t>
      </w:r>
      <w:r>
        <w:rPr>
          <w:rFonts w:ascii="Arial" w:hAnsi="Arial" w:cs="Arial"/>
          <w:sz w:val="22"/>
          <w:szCs w:val="22"/>
        </w:rPr>
        <w:br/>
        <w:t>včetně jejich součástí a příslušenství, k dočasnému užívání a nájemci se zavazují platit za to pronajímateli nájemné a užívat nemovité věci jako řádní hospodáři k ujednanému účelu.</w:t>
      </w:r>
    </w:p>
    <w:p w:rsidR="00723ACD" w:rsidRDefault="00723ACD" w:rsidP="00723ACD">
      <w:pPr>
        <w:pStyle w:val="Zkladntext"/>
        <w:widowControl w:val="0"/>
        <w:numPr>
          <w:ilvl w:val="0"/>
          <w:numId w:val="5"/>
        </w:numPr>
        <w:autoSpaceDN w:val="0"/>
        <w:spacing w:before="120"/>
        <w:ind w:left="357" w:hanging="357"/>
        <w:rPr>
          <w:rFonts w:ascii="Arial" w:hAnsi="Arial" w:cs="Arial"/>
          <w:b w:val="0"/>
          <w:sz w:val="22"/>
          <w:szCs w:val="22"/>
        </w:rPr>
      </w:pPr>
      <w:r>
        <w:rPr>
          <w:rFonts w:ascii="Arial" w:hAnsi="Arial" w:cs="Arial"/>
          <w:b w:val="0"/>
          <w:sz w:val="22"/>
          <w:szCs w:val="22"/>
        </w:rPr>
        <w:t xml:space="preserve">Účelem nájmu je naložení s majetkem státu nepotřebným k plnění funkcí státu formou pronájmu nemovitých věcí k zajištění bytových potřeb nájemců. Nájemci užívají tyto nemovité věci na základě Smlouvy o nájmu bytu ze dne 30. 7. 2013 ve znění Dodatku </w:t>
      </w:r>
      <w:r>
        <w:rPr>
          <w:rFonts w:ascii="Arial" w:hAnsi="Arial" w:cs="Arial"/>
          <w:b w:val="0"/>
          <w:sz w:val="22"/>
          <w:szCs w:val="22"/>
        </w:rPr>
        <w:br/>
        <w:t xml:space="preserve">č. 1 ze dne 30. 1. 2017 a Dodatku č. 2 ze dne 25. 11. 2019, dále pak Smlouvy o nájmu garáže ze dne 25. 11. 2019 a Smlouvy o nájmu zahrady ze dne 25. 11. 2019, uzavřené mezi právním předchůdcem </w:t>
      </w:r>
      <w:proofErr w:type="gramStart"/>
      <w:r>
        <w:rPr>
          <w:rFonts w:ascii="Arial" w:hAnsi="Arial" w:cs="Arial"/>
          <w:b w:val="0"/>
          <w:sz w:val="22"/>
          <w:szCs w:val="22"/>
        </w:rPr>
        <w:t>pronajímatele - Generálním</w:t>
      </w:r>
      <w:proofErr w:type="gramEnd"/>
      <w:r>
        <w:rPr>
          <w:rFonts w:ascii="Arial" w:hAnsi="Arial" w:cs="Arial"/>
          <w:b w:val="0"/>
          <w:sz w:val="22"/>
          <w:szCs w:val="22"/>
        </w:rPr>
        <w:t xml:space="preserve"> ředitelstvím cel a </w:t>
      </w:r>
      <w:r>
        <w:rPr>
          <w:rFonts w:ascii="Arial" w:hAnsi="Arial" w:cs="Arial"/>
          <w:b w:val="0"/>
          <w:sz w:val="22"/>
          <w:szCs w:val="22"/>
        </w:rPr>
        <w:t>XXXXXXXX</w:t>
      </w:r>
      <w:r>
        <w:rPr>
          <w:rFonts w:ascii="Arial" w:hAnsi="Arial" w:cs="Arial"/>
          <w:b w:val="0"/>
          <w:sz w:val="22"/>
          <w:szCs w:val="22"/>
        </w:rPr>
        <w:t xml:space="preserve">. Tyto nájemní smlouvy jsou uzavřeny do 31. 12. 2020. </w:t>
      </w:r>
    </w:p>
    <w:p w:rsidR="00723ACD" w:rsidRPr="00CF63C0" w:rsidRDefault="00723ACD" w:rsidP="00723ACD">
      <w:pPr>
        <w:pStyle w:val="Zkladntext"/>
        <w:widowControl w:val="0"/>
        <w:numPr>
          <w:ilvl w:val="0"/>
          <w:numId w:val="5"/>
        </w:numPr>
        <w:autoSpaceDN w:val="0"/>
        <w:spacing w:before="120"/>
        <w:ind w:left="357" w:hanging="357"/>
        <w:rPr>
          <w:rFonts w:ascii="Arial" w:hAnsi="Arial" w:cs="Arial"/>
          <w:sz w:val="22"/>
          <w:szCs w:val="22"/>
        </w:rPr>
      </w:pPr>
      <w:r>
        <w:rPr>
          <w:rFonts w:ascii="Arial" w:hAnsi="Arial" w:cs="Arial"/>
          <w:b w:val="0"/>
          <w:sz w:val="22"/>
          <w:szCs w:val="22"/>
        </w:rPr>
        <w:t xml:space="preserve">Nájemci prohlašují, že je jim stav pronajatých nemovitých věcí dobře znám, jelikož je užívají za účelem bydlení, a potvrzují, že jsou ve stavu způsobilém k řádnému užívání podle této smlouvy. </w:t>
      </w:r>
    </w:p>
    <w:p w:rsidR="00723ACD" w:rsidRDefault="00723ACD" w:rsidP="00723ACD">
      <w:pPr>
        <w:pStyle w:val="Zkladntext"/>
        <w:widowControl w:val="0"/>
        <w:autoSpaceDN w:val="0"/>
        <w:spacing w:before="120"/>
        <w:ind w:left="357"/>
        <w:rPr>
          <w:rFonts w:ascii="Arial" w:hAnsi="Arial" w:cs="Arial"/>
          <w:sz w:val="22"/>
          <w:szCs w:val="22"/>
        </w:rPr>
      </w:pPr>
    </w:p>
    <w:p w:rsidR="00723ACD" w:rsidRDefault="00723ACD" w:rsidP="00723ACD">
      <w:pPr>
        <w:spacing w:before="120"/>
        <w:ind w:left="357"/>
        <w:jc w:val="center"/>
        <w:rPr>
          <w:rFonts w:ascii="Arial" w:hAnsi="Arial" w:cs="Arial"/>
          <w:b/>
          <w:color w:val="5B9BD5" w:themeColor="accent5"/>
          <w:sz w:val="20"/>
          <w:szCs w:val="20"/>
          <w:u w:val="single"/>
        </w:rPr>
      </w:pPr>
      <w:r>
        <w:rPr>
          <w:rFonts w:ascii="Arial" w:hAnsi="Arial" w:cs="Arial"/>
          <w:b/>
          <w:sz w:val="22"/>
          <w:szCs w:val="22"/>
        </w:rPr>
        <w:t xml:space="preserve">Čl. III.  </w:t>
      </w:r>
    </w:p>
    <w:p w:rsidR="00723ACD" w:rsidRDefault="00723ACD" w:rsidP="00723ACD">
      <w:pPr>
        <w:numPr>
          <w:ilvl w:val="0"/>
          <w:numId w:val="6"/>
        </w:numPr>
        <w:spacing w:before="120"/>
        <w:jc w:val="both"/>
        <w:rPr>
          <w:rFonts w:ascii="Arial" w:hAnsi="Arial" w:cs="Arial"/>
          <w:sz w:val="20"/>
          <w:szCs w:val="20"/>
          <w:u w:val="single"/>
        </w:rPr>
      </w:pPr>
      <w:r>
        <w:rPr>
          <w:rFonts w:ascii="Arial" w:hAnsi="Arial" w:cs="Arial"/>
          <w:sz w:val="22"/>
          <w:szCs w:val="22"/>
        </w:rPr>
        <w:t xml:space="preserve">Nájemné za pronajaté nemovité věci se sjednává ve smyslu § 27 odst. 3 zákona </w:t>
      </w:r>
      <w:r>
        <w:rPr>
          <w:rFonts w:ascii="Arial" w:hAnsi="Arial" w:cs="Arial"/>
          <w:sz w:val="22"/>
          <w:szCs w:val="22"/>
        </w:rPr>
        <w:br/>
        <w:t xml:space="preserve">č. 219/2000 Sb. ve výši </w:t>
      </w:r>
      <w:r>
        <w:rPr>
          <w:rFonts w:ascii="Arial" w:hAnsi="Arial" w:cs="Arial"/>
          <w:b/>
          <w:sz w:val="22"/>
          <w:szCs w:val="22"/>
        </w:rPr>
        <w:t>23 993,- Kč</w:t>
      </w:r>
      <w:r>
        <w:rPr>
          <w:rFonts w:ascii="Arial" w:hAnsi="Arial" w:cs="Arial"/>
          <w:sz w:val="22"/>
          <w:szCs w:val="22"/>
        </w:rPr>
        <w:t xml:space="preserve"> (slovy </w:t>
      </w:r>
      <w:proofErr w:type="spellStart"/>
      <w:r>
        <w:rPr>
          <w:rFonts w:ascii="Arial" w:hAnsi="Arial" w:cs="Arial"/>
          <w:sz w:val="22"/>
          <w:szCs w:val="22"/>
        </w:rPr>
        <w:t>dvacettřitisícdevětsetdevadesáttři</w:t>
      </w:r>
      <w:proofErr w:type="spellEnd"/>
      <w:r>
        <w:rPr>
          <w:rFonts w:ascii="Arial" w:hAnsi="Arial" w:cs="Arial"/>
          <w:sz w:val="22"/>
          <w:szCs w:val="22"/>
        </w:rPr>
        <w:t xml:space="preserve"> korun českých) měsíčně</w:t>
      </w:r>
      <w:r>
        <w:rPr>
          <w:rFonts w:ascii="Arial" w:hAnsi="Arial" w:cs="Arial"/>
          <w:sz w:val="22"/>
          <w:szCs w:val="20"/>
        </w:rPr>
        <w:t>.</w:t>
      </w:r>
    </w:p>
    <w:p w:rsidR="00723ACD" w:rsidRDefault="00723ACD" w:rsidP="00723ACD">
      <w:pPr>
        <w:numPr>
          <w:ilvl w:val="0"/>
          <w:numId w:val="6"/>
        </w:numPr>
        <w:spacing w:before="120"/>
        <w:jc w:val="both"/>
        <w:rPr>
          <w:rFonts w:ascii="Arial" w:hAnsi="Arial" w:cs="Arial"/>
          <w:sz w:val="22"/>
          <w:szCs w:val="22"/>
        </w:rPr>
      </w:pPr>
      <w:r>
        <w:rPr>
          <w:rFonts w:ascii="Arial" w:hAnsi="Arial" w:cs="Arial"/>
          <w:sz w:val="22"/>
          <w:szCs w:val="22"/>
        </w:rPr>
        <w:t>Společně s nájemným budou nájemci hradit i zálohy na hrazení služeb, souvisejících s nájmem rodinného domu Pikovice čp. 35 (dále jen „</w:t>
      </w:r>
      <w:r>
        <w:rPr>
          <w:rFonts w:ascii="Arial" w:hAnsi="Arial" w:cs="Arial"/>
          <w:b/>
          <w:sz w:val="22"/>
          <w:szCs w:val="22"/>
        </w:rPr>
        <w:t>pronajatý dům</w:t>
      </w:r>
      <w:r>
        <w:rPr>
          <w:rFonts w:ascii="Arial" w:hAnsi="Arial" w:cs="Arial"/>
          <w:sz w:val="22"/>
          <w:szCs w:val="22"/>
        </w:rPr>
        <w:t xml:space="preserve">“), které zajišťuje pronajímatel, a to ve výši 9.000,- Kč měsíčně. Jedná se o dodávku zkapalněného plynu na základě Smlouvy o dodávce a nájmu PRIMATECH č. </w:t>
      </w:r>
      <w:r>
        <w:rPr>
          <w:rFonts w:ascii="Arial" w:hAnsi="Arial" w:cs="Arial"/>
          <w:sz w:val="22"/>
          <w:szCs w:val="22"/>
        </w:rPr>
        <w:t>XXXXX</w:t>
      </w:r>
      <w:r>
        <w:rPr>
          <w:rFonts w:ascii="Arial" w:hAnsi="Arial" w:cs="Arial"/>
          <w:sz w:val="22"/>
          <w:szCs w:val="22"/>
        </w:rPr>
        <w:t>, uzavřené dne 9. 7. 2020 se společností PRIMAGAS s.r.o.</w:t>
      </w:r>
    </w:p>
    <w:p w:rsidR="00723ACD" w:rsidRPr="00CF63C0" w:rsidRDefault="00723ACD" w:rsidP="00723ACD">
      <w:pPr>
        <w:numPr>
          <w:ilvl w:val="0"/>
          <w:numId w:val="6"/>
        </w:numPr>
        <w:spacing w:before="120"/>
        <w:jc w:val="both"/>
        <w:rPr>
          <w:rFonts w:ascii="Arial" w:hAnsi="Arial" w:cs="Arial"/>
          <w:sz w:val="22"/>
          <w:szCs w:val="22"/>
        </w:rPr>
      </w:pPr>
      <w:r w:rsidRPr="00CF63C0">
        <w:rPr>
          <w:rFonts w:ascii="Arial" w:hAnsi="Arial" w:cs="Arial"/>
          <w:sz w:val="22"/>
          <w:szCs w:val="22"/>
        </w:rPr>
        <w:t xml:space="preserve">Nájemné je splatné bezhotovostně na účet pronajímatele č.: </w:t>
      </w:r>
      <w:r>
        <w:rPr>
          <w:rFonts w:ascii="Arial" w:hAnsi="Arial" w:cs="Arial"/>
          <w:sz w:val="22"/>
          <w:szCs w:val="22"/>
        </w:rPr>
        <w:t>XXXXXXXX,</w:t>
      </w:r>
      <w:r w:rsidRPr="00CF63C0">
        <w:rPr>
          <w:rFonts w:ascii="Arial" w:hAnsi="Arial" w:cs="Arial"/>
          <w:sz w:val="22"/>
          <w:szCs w:val="22"/>
        </w:rPr>
        <w:t xml:space="preserve"> a to v měsíčních splátkách, které jsou splatné vždy do 22. dne příslušného kalendářního měsíce. Zálohy na hrazení služeb, které zajišťuje pronajímatel dle Čl. VI. odst. 11., jsou splatné bezhotovostně na účet pronajímatele č.: </w:t>
      </w:r>
      <w:r>
        <w:rPr>
          <w:rFonts w:ascii="Arial" w:hAnsi="Arial" w:cs="Arial"/>
          <w:sz w:val="22"/>
          <w:szCs w:val="22"/>
        </w:rPr>
        <w:t>XXXXXXX</w:t>
      </w:r>
      <w:r w:rsidRPr="00CF63C0">
        <w:rPr>
          <w:rFonts w:ascii="Arial" w:hAnsi="Arial" w:cs="Arial"/>
          <w:sz w:val="22"/>
          <w:szCs w:val="22"/>
        </w:rPr>
        <w:t xml:space="preserve">, a to měsíčně, nejpozději </w:t>
      </w:r>
      <w:r>
        <w:rPr>
          <w:rFonts w:ascii="Arial" w:hAnsi="Arial" w:cs="Arial"/>
          <w:sz w:val="22"/>
          <w:szCs w:val="22"/>
        </w:rPr>
        <w:t>d</w:t>
      </w:r>
      <w:r w:rsidRPr="00CF63C0">
        <w:rPr>
          <w:rFonts w:ascii="Arial" w:hAnsi="Arial" w:cs="Arial"/>
          <w:sz w:val="22"/>
          <w:szCs w:val="22"/>
        </w:rPr>
        <w:t>o 22. dne příslušného</w:t>
      </w:r>
      <w:r>
        <w:rPr>
          <w:rFonts w:ascii="Arial" w:hAnsi="Arial" w:cs="Arial"/>
          <w:sz w:val="22"/>
          <w:szCs w:val="22"/>
        </w:rPr>
        <w:t xml:space="preserve"> </w:t>
      </w:r>
      <w:r w:rsidRPr="00CF63C0">
        <w:rPr>
          <w:rFonts w:ascii="Arial" w:hAnsi="Arial" w:cs="Arial"/>
          <w:sz w:val="22"/>
          <w:szCs w:val="22"/>
        </w:rPr>
        <w:t xml:space="preserve">kalendářního měsíce. K bezhotovostním platbám nájemného a záloh na služby budou nájemci vždy uvádět variabilní symbol </w:t>
      </w:r>
      <w:r>
        <w:rPr>
          <w:rFonts w:ascii="Arial" w:hAnsi="Arial" w:cs="Arial"/>
          <w:sz w:val="22"/>
          <w:szCs w:val="22"/>
        </w:rPr>
        <w:t>XXXXXXXX</w:t>
      </w:r>
      <w:r w:rsidRPr="00CF63C0">
        <w:rPr>
          <w:rFonts w:ascii="Arial" w:hAnsi="Arial" w:cs="Arial"/>
          <w:sz w:val="22"/>
          <w:szCs w:val="22"/>
        </w:rPr>
        <w:t>.</w:t>
      </w:r>
    </w:p>
    <w:p w:rsidR="00723ACD" w:rsidRDefault="00723ACD" w:rsidP="00723ACD">
      <w:pPr>
        <w:pStyle w:val="Zkladntext"/>
        <w:numPr>
          <w:ilvl w:val="0"/>
          <w:numId w:val="6"/>
        </w:numPr>
        <w:autoSpaceDE w:val="0"/>
        <w:autoSpaceDN w:val="0"/>
        <w:spacing w:before="120"/>
        <w:rPr>
          <w:rFonts w:ascii="Arial" w:hAnsi="Arial" w:cs="Arial"/>
          <w:b w:val="0"/>
          <w:sz w:val="22"/>
          <w:szCs w:val="22"/>
        </w:rPr>
      </w:pPr>
      <w:r>
        <w:rPr>
          <w:rFonts w:ascii="Arial" w:hAnsi="Arial" w:cs="Arial"/>
          <w:b w:val="0"/>
          <w:sz w:val="22"/>
          <w:szCs w:val="22"/>
        </w:rPr>
        <w:t>Zaplacením se podle této smlouvy rozumí připsání příslušné částky na bankovní účet příjemce platby.</w:t>
      </w:r>
    </w:p>
    <w:p w:rsidR="00723ACD" w:rsidRDefault="00723ACD" w:rsidP="00723ACD">
      <w:pPr>
        <w:numPr>
          <w:ilvl w:val="0"/>
          <w:numId w:val="6"/>
        </w:numPr>
        <w:spacing w:before="120"/>
        <w:jc w:val="both"/>
        <w:rPr>
          <w:rFonts w:ascii="Arial" w:hAnsi="Arial" w:cs="Arial"/>
          <w:sz w:val="22"/>
          <w:szCs w:val="22"/>
        </w:rPr>
      </w:pPr>
      <w:r>
        <w:rPr>
          <w:rFonts w:ascii="Arial" w:hAnsi="Arial" w:cs="Arial"/>
          <w:sz w:val="22"/>
          <w:szCs w:val="22"/>
        </w:rPr>
        <w:t>Skončí-li nebo počne-li nájem v průběhu kalendářního roku, náleží pronajímateli pouze poměrná část ročního nájemného.</w:t>
      </w:r>
    </w:p>
    <w:p w:rsidR="00723ACD" w:rsidRDefault="00723ACD" w:rsidP="00723ACD">
      <w:pPr>
        <w:pStyle w:val="Zkladntext"/>
        <w:numPr>
          <w:ilvl w:val="0"/>
          <w:numId w:val="6"/>
        </w:numPr>
        <w:autoSpaceDE w:val="0"/>
        <w:autoSpaceDN w:val="0"/>
        <w:spacing w:before="120"/>
        <w:rPr>
          <w:rFonts w:ascii="Arial" w:hAnsi="Arial" w:cs="Arial"/>
          <w:sz w:val="22"/>
          <w:szCs w:val="22"/>
        </w:rPr>
      </w:pPr>
      <w:r>
        <w:rPr>
          <w:rFonts w:ascii="Arial" w:hAnsi="Arial" w:cs="Arial"/>
          <w:b w:val="0"/>
          <w:sz w:val="22"/>
          <w:szCs w:val="22"/>
        </w:rPr>
        <w:t>Pronajímatel může každoročně s účinností na období od 1. ledna upravit výši nájemného v závislosti na růstu spotřebitelských cen v předchozím kalendářním roce. Výše nájemného se v takové</w:t>
      </w:r>
      <w:r>
        <w:rPr>
          <w:rFonts w:ascii="Arial" w:hAnsi="Arial" w:cs="Arial"/>
          <w:b w:val="0"/>
          <w:bCs/>
          <w:iCs/>
          <w:sz w:val="22"/>
          <w:szCs w:val="22"/>
        </w:rPr>
        <w:t>m</w:t>
      </w:r>
      <w:r>
        <w:rPr>
          <w:rFonts w:ascii="Arial" w:hAnsi="Arial" w:cs="Arial"/>
          <w:b w:val="0"/>
          <w:sz w:val="22"/>
          <w:szCs w:val="22"/>
        </w:rPr>
        <w:t xml:space="preserve"> případě upraví podle následujícího vzorce:</w:t>
      </w:r>
    </w:p>
    <w:p w:rsidR="00723ACD" w:rsidRDefault="00723ACD" w:rsidP="00723ACD">
      <w:pPr>
        <w:pStyle w:val="Odstavecseseznamem"/>
        <w:spacing w:before="120"/>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(t+1)</w:t>
      </w:r>
      <w:r>
        <w:rPr>
          <w:rFonts w:ascii="Arial" w:hAnsi="Arial" w:cs="Arial"/>
          <w:sz w:val="22"/>
          <w:szCs w:val="22"/>
        </w:rPr>
        <w:t xml:space="preserve"> = </w:t>
      </w:r>
      <w:proofErr w:type="spellStart"/>
      <w:r>
        <w:rPr>
          <w:rFonts w:ascii="Arial" w:hAnsi="Arial" w:cs="Arial"/>
          <w:sz w:val="22"/>
          <w:szCs w:val="22"/>
        </w:rPr>
        <w:t>N</w:t>
      </w:r>
      <w:r>
        <w:rPr>
          <w:rFonts w:ascii="Arial" w:hAnsi="Arial" w:cs="Arial"/>
          <w:sz w:val="22"/>
          <w:szCs w:val="22"/>
          <w:vertAlign w:val="subscript"/>
        </w:rPr>
        <w:t>t</w:t>
      </w:r>
      <w:proofErr w:type="spellEnd"/>
      <w:r>
        <w:rPr>
          <w:rFonts w:ascii="Arial" w:hAnsi="Arial" w:cs="Arial"/>
          <w:sz w:val="22"/>
          <w:szCs w:val="22"/>
        </w:rPr>
        <w:t xml:space="preserve"> x (1 + </w:t>
      </w:r>
      <w:proofErr w:type="spellStart"/>
      <w:r>
        <w:rPr>
          <w:rFonts w:ascii="Arial" w:hAnsi="Arial" w:cs="Arial"/>
          <w:sz w:val="22"/>
          <w:szCs w:val="22"/>
        </w:rPr>
        <w:t>I</w:t>
      </w:r>
      <w:r>
        <w:rPr>
          <w:rFonts w:ascii="Arial" w:hAnsi="Arial" w:cs="Arial"/>
          <w:sz w:val="22"/>
          <w:szCs w:val="22"/>
          <w:vertAlign w:val="subscript"/>
        </w:rPr>
        <w:t>t</w:t>
      </w:r>
      <w:proofErr w:type="spellEnd"/>
      <w:r>
        <w:rPr>
          <w:rFonts w:ascii="Arial" w:hAnsi="Arial" w:cs="Arial"/>
          <w:sz w:val="22"/>
          <w:szCs w:val="22"/>
        </w:rPr>
        <w:t>/100)</w:t>
      </w:r>
    </w:p>
    <w:p w:rsidR="00723ACD" w:rsidRDefault="00723ACD" w:rsidP="00723ACD">
      <w:pPr>
        <w:pStyle w:val="Odstavecseseznamem"/>
        <w:spacing w:before="120"/>
        <w:ind w:left="714" w:hanging="357"/>
        <w:jc w:val="both"/>
        <w:rPr>
          <w:rFonts w:ascii="Arial" w:hAnsi="Arial" w:cs="Arial"/>
          <w:sz w:val="22"/>
          <w:szCs w:val="22"/>
        </w:rPr>
      </w:pPr>
      <w:r>
        <w:rPr>
          <w:rFonts w:ascii="Arial" w:hAnsi="Arial" w:cs="Arial"/>
          <w:sz w:val="22"/>
          <w:szCs w:val="22"/>
        </w:rPr>
        <w:t>kde:</w:t>
      </w:r>
    </w:p>
    <w:p w:rsidR="00723ACD" w:rsidRDefault="00723ACD" w:rsidP="00723ACD">
      <w:pPr>
        <w:pStyle w:val="Odstavecseseznamem"/>
        <w:spacing w:before="120"/>
        <w:ind w:left="714" w:hanging="357"/>
        <w:jc w:val="both"/>
        <w:rPr>
          <w:rFonts w:ascii="Arial" w:hAnsi="Arial" w:cs="Arial"/>
          <w:sz w:val="22"/>
          <w:szCs w:val="22"/>
        </w:rPr>
      </w:pPr>
      <w:r>
        <w:rPr>
          <w:rFonts w:ascii="Arial" w:hAnsi="Arial" w:cs="Arial"/>
          <w:sz w:val="22"/>
          <w:szCs w:val="22"/>
        </w:rPr>
        <w:t>N</w:t>
      </w:r>
      <w:r>
        <w:rPr>
          <w:rFonts w:ascii="Arial" w:hAnsi="Arial" w:cs="Arial"/>
          <w:sz w:val="22"/>
          <w:szCs w:val="22"/>
          <w:vertAlign w:val="subscript"/>
        </w:rPr>
        <w:t>(t+1</w:t>
      </w:r>
      <w:proofErr w:type="gramStart"/>
      <w:r>
        <w:rPr>
          <w:rFonts w:ascii="Arial" w:hAnsi="Arial" w:cs="Arial"/>
          <w:sz w:val="22"/>
          <w:szCs w:val="22"/>
          <w:vertAlign w:val="subscript"/>
        </w:rPr>
        <w:t xml:space="preserve">)  </w:t>
      </w:r>
      <w:r>
        <w:rPr>
          <w:rFonts w:ascii="Arial" w:hAnsi="Arial" w:cs="Arial"/>
          <w:sz w:val="22"/>
          <w:szCs w:val="22"/>
        </w:rPr>
        <w:t>je</w:t>
      </w:r>
      <w:proofErr w:type="gramEnd"/>
      <w:r>
        <w:rPr>
          <w:rFonts w:ascii="Arial" w:hAnsi="Arial" w:cs="Arial"/>
          <w:sz w:val="22"/>
          <w:szCs w:val="22"/>
        </w:rPr>
        <w:t xml:space="preserve"> výše nájemného v běžném kalendářním roce,</w:t>
      </w:r>
    </w:p>
    <w:p w:rsidR="00723ACD" w:rsidRDefault="00723ACD" w:rsidP="00723ACD">
      <w:pPr>
        <w:pStyle w:val="Odstavecseseznamem"/>
        <w:spacing w:before="120"/>
        <w:ind w:left="714" w:hanging="357"/>
        <w:jc w:val="both"/>
        <w:rPr>
          <w:rFonts w:ascii="Arial" w:hAnsi="Arial" w:cs="Arial"/>
          <w:sz w:val="22"/>
          <w:szCs w:val="22"/>
        </w:rPr>
      </w:pPr>
      <w:proofErr w:type="spellStart"/>
      <w:r>
        <w:rPr>
          <w:rFonts w:ascii="Arial" w:hAnsi="Arial" w:cs="Arial"/>
          <w:sz w:val="22"/>
          <w:szCs w:val="22"/>
        </w:rPr>
        <w:lastRenderedPageBreak/>
        <w:t>Nt</w:t>
      </w:r>
      <w:proofErr w:type="spellEnd"/>
      <w:proofErr w:type="gramStart"/>
      <w:r>
        <w:rPr>
          <w:rFonts w:ascii="Arial" w:hAnsi="Arial" w:cs="Arial"/>
          <w:sz w:val="22"/>
          <w:szCs w:val="22"/>
        </w:rPr>
        <w:tab/>
        <w:t xml:space="preserve">  je</w:t>
      </w:r>
      <w:proofErr w:type="gramEnd"/>
      <w:r>
        <w:rPr>
          <w:rFonts w:ascii="Arial" w:hAnsi="Arial" w:cs="Arial"/>
          <w:sz w:val="22"/>
          <w:szCs w:val="22"/>
        </w:rPr>
        <w:t xml:space="preserve"> výše nájemného v předchozím kalendářním roce,</w:t>
      </w:r>
    </w:p>
    <w:p w:rsidR="00723ACD" w:rsidRDefault="00723ACD" w:rsidP="00723ACD">
      <w:pPr>
        <w:pStyle w:val="Zkladntextodsazen"/>
        <w:spacing w:before="120"/>
        <w:ind w:left="714" w:hanging="357"/>
        <w:jc w:val="both"/>
        <w:rPr>
          <w:rFonts w:ascii="Arial" w:hAnsi="Arial" w:cs="Arial"/>
          <w:sz w:val="22"/>
          <w:szCs w:val="22"/>
        </w:rPr>
      </w:pPr>
      <w:proofErr w:type="spellStart"/>
      <w:r>
        <w:rPr>
          <w:rFonts w:ascii="Arial" w:hAnsi="Arial" w:cs="Arial"/>
          <w:sz w:val="22"/>
          <w:szCs w:val="22"/>
        </w:rPr>
        <w:t>It</w:t>
      </w:r>
      <w:proofErr w:type="spellEnd"/>
      <w:proofErr w:type="gramStart"/>
      <w:r>
        <w:rPr>
          <w:rFonts w:ascii="Arial" w:hAnsi="Arial" w:cs="Arial"/>
          <w:sz w:val="22"/>
          <w:szCs w:val="22"/>
        </w:rPr>
        <w:tab/>
        <w:t xml:space="preserve">  je</w:t>
      </w:r>
      <w:proofErr w:type="gramEnd"/>
      <w:r>
        <w:rPr>
          <w:rFonts w:ascii="Arial" w:hAnsi="Arial" w:cs="Arial"/>
          <w:sz w:val="22"/>
          <w:szCs w:val="22"/>
        </w:rPr>
        <w:t xml:space="preserve"> průměrný roční index spotřebitelských cen za předchozí kalendářní rok zveřejněný Českým statistickým úřadem a vyjádřený v procentech.</w:t>
      </w:r>
    </w:p>
    <w:p w:rsidR="00723ACD" w:rsidRDefault="00723ACD" w:rsidP="00723ACD">
      <w:pPr>
        <w:spacing w:before="120"/>
        <w:ind w:left="357" w:hanging="357"/>
        <w:jc w:val="both"/>
        <w:rPr>
          <w:rFonts w:ascii="Arial" w:hAnsi="Arial" w:cs="Arial"/>
          <w:sz w:val="22"/>
          <w:szCs w:val="22"/>
        </w:rPr>
      </w:pPr>
      <w:r>
        <w:rPr>
          <w:rFonts w:ascii="Arial" w:hAnsi="Arial" w:cs="Arial"/>
          <w:sz w:val="22"/>
          <w:szCs w:val="22"/>
        </w:rPr>
        <w:tab/>
        <w:t>Takto upravenou výši nájemného pronajímatel uplatňuje písemným oznámením nájemcům. Písemné oznámení musí být nájemcům doručeno nejpozději sedm kalendářních dnů před splatností navýšeného nájemného. Nájemci se zavazují takto stanovené nájemné hradit. V případě, že pronajímatel navýšení nájemného neprovede v daném roce, může při dalším navýšení nájemného použít kumulovanou míru inflace za dobu od posledního navýšení.</w:t>
      </w:r>
    </w:p>
    <w:p w:rsidR="00723ACD" w:rsidRDefault="00723ACD" w:rsidP="00723ACD">
      <w:pPr>
        <w:spacing w:before="120"/>
        <w:ind w:left="357" w:hanging="357"/>
        <w:jc w:val="both"/>
        <w:rPr>
          <w:rFonts w:ascii="Arial" w:hAnsi="Arial" w:cs="Arial"/>
          <w:sz w:val="22"/>
          <w:szCs w:val="22"/>
        </w:rPr>
      </w:pPr>
    </w:p>
    <w:p w:rsidR="00723ACD" w:rsidRDefault="00723ACD" w:rsidP="00723ACD">
      <w:pPr>
        <w:pStyle w:val="Odstavecseseznamem"/>
        <w:numPr>
          <w:ilvl w:val="0"/>
          <w:numId w:val="6"/>
        </w:numPr>
        <w:jc w:val="both"/>
        <w:rPr>
          <w:rFonts w:ascii="Arial" w:hAnsi="Arial" w:cs="Arial"/>
          <w:sz w:val="22"/>
          <w:szCs w:val="22"/>
        </w:rPr>
      </w:pPr>
      <w:r>
        <w:rPr>
          <w:rFonts w:ascii="Arial" w:hAnsi="Arial" w:cs="Arial"/>
          <w:sz w:val="22"/>
          <w:szCs w:val="22"/>
        </w:rPr>
        <w:t xml:space="preserve">Vyúčtování záloh za služby, hrazených nájemcem dle Čl. III. odst. 2., bude provedeno </w:t>
      </w:r>
      <w:r>
        <w:rPr>
          <w:rFonts w:ascii="Arial" w:hAnsi="Arial" w:cs="Arial"/>
          <w:sz w:val="22"/>
          <w:szCs w:val="22"/>
        </w:rPr>
        <w:br/>
        <w:t xml:space="preserve">(a zpráva o něm zaslána nájemci) do konce druhého měsíce kalendářního roku následujícího po roce, za které je vyúčtování prováděno. Případný nedoplatek jsou nájemci povinni uhradit do 30 dnů od doručení vyúčtování na účet pronajímatele, na který jsou splatné zálohy </w:t>
      </w:r>
      <w:r>
        <w:rPr>
          <w:rFonts w:ascii="Arial" w:hAnsi="Arial" w:cs="Arial"/>
          <w:sz w:val="22"/>
          <w:szCs w:val="22"/>
        </w:rPr>
        <w:br/>
        <w:t>na služby. Ve vyúčtování bude nájemcům sděleno, v jaké výši mu bude vrácen případný přeplatek.</w:t>
      </w:r>
    </w:p>
    <w:p w:rsidR="00723ACD" w:rsidRDefault="00723ACD" w:rsidP="00723ACD">
      <w:pPr>
        <w:pStyle w:val="Odstavecseseznamem"/>
        <w:ind w:left="357"/>
        <w:jc w:val="both"/>
        <w:rPr>
          <w:rFonts w:ascii="Arial" w:hAnsi="Arial" w:cs="Arial"/>
          <w:sz w:val="22"/>
          <w:szCs w:val="22"/>
        </w:rPr>
      </w:pPr>
    </w:p>
    <w:p w:rsidR="00723ACD" w:rsidRPr="00BA5F56" w:rsidRDefault="00723ACD" w:rsidP="00723ACD">
      <w:pPr>
        <w:jc w:val="both"/>
        <w:rPr>
          <w:rFonts w:ascii="Arial" w:hAnsi="Arial" w:cs="Arial"/>
          <w:sz w:val="22"/>
          <w:szCs w:val="22"/>
        </w:rPr>
      </w:pPr>
    </w:p>
    <w:p w:rsidR="00723ACD" w:rsidRDefault="00723ACD" w:rsidP="00723ACD">
      <w:pPr>
        <w:pStyle w:val="para"/>
        <w:tabs>
          <w:tab w:val="center" w:pos="4536"/>
          <w:tab w:val="left" w:pos="5222"/>
        </w:tabs>
        <w:spacing w:before="120"/>
        <w:rPr>
          <w:rFonts w:ascii="Arial" w:hAnsi="Arial" w:cs="Arial"/>
          <w:sz w:val="22"/>
          <w:szCs w:val="22"/>
        </w:rPr>
      </w:pPr>
      <w:r>
        <w:rPr>
          <w:rFonts w:ascii="Arial" w:hAnsi="Arial" w:cs="Arial"/>
          <w:sz w:val="22"/>
          <w:szCs w:val="22"/>
        </w:rPr>
        <w:t>Čl. IV.</w:t>
      </w:r>
    </w:p>
    <w:p w:rsidR="00723ACD" w:rsidRPr="00CF63C0" w:rsidRDefault="00723ACD" w:rsidP="00723ACD">
      <w:pPr>
        <w:autoSpaceDE w:val="0"/>
        <w:autoSpaceDN w:val="0"/>
        <w:spacing w:before="120"/>
        <w:ind w:left="357"/>
        <w:jc w:val="both"/>
        <w:rPr>
          <w:rFonts w:ascii="Arial" w:hAnsi="Arial" w:cs="Arial"/>
          <w:i/>
          <w:szCs w:val="20"/>
          <w:u w:val="single"/>
        </w:rPr>
      </w:pPr>
      <w:r>
        <w:rPr>
          <w:rFonts w:ascii="Arial" w:hAnsi="Arial" w:cs="Arial"/>
          <w:sz w:val="22"/>
          <w:szCs w:val="22"/>
        </w:rPr>
        <w:t>Nájem se sjednává na dobu od 1. 1. 2021 do 31. 12. 2022.</w:t>
      </w:r>
    </w:p>
    <w:p w:rsidR="00723ACD" w:rsidRDefault="00723ACD" w:rsidP="00723ACD">
      <w:pPr>
        <w:pStyle w:val="Odstavecseseznamem"/>
        <w:spacing w:before="120"/>
        <w:ind w:left="0"/>
        <w:jc w:val="both"/>
        <w:rPr>
          <w:rFonts w:ascii="Arial" w:hAnsi="Arial" w:cs="Arial"/>
          <w:sz w:val="22"/>
          <w:szCs w:val="22"/>
        </w:rPr>
      </w:pPr>
    </w:p>
    <w:p w:rsidR="00723ACD" w:rsidRDefault="00723ACD" w:rsidP="00723ACD">
      <w:pPr>
        <w:pStyle w:val="para"/>
        <w:tabs>
          <w:tab w:val="center" w:pos="4536"/>
          <w:tab w:val="left" w:pos="5222"/>
        </w:tabs>
        <w:spacing w:before="120"/>
        <w:rPr>
          <w:rFonts w:ascii="Arial" w:hAnsi="Arial" w:cs="Arial"/>
          <w:sz w:val="22"/>
          <w:szCs w:val="22"/>
        </w:rPr>
      </w:pPr>
      <w:r>
        <w:rPr>
          <w:rFonts w:ascii="Arial" w:hAnsi="Arial" w:cs="Arial"/>
          <w:sz w:val="22"/>
          <w:szCs w:val="22"/>
        </w:rPr>
        <w:t>Čl. V.</w:t>
      </w:r>
    </w:p>
    <w:p w:rsidR="00723ACD" w:rsidRDefault="00723ACD" w:rsidP="00723ACD">
      <w:pPr>
        <w:pStyle w:val="Zkladntext"/>
        <w:numPr>
          <w:ilvl w:val="0"/>
          <w:numId w:val="7"/>
        </w:numPr>
        <w:autoSpaceDE w:val="0"/>
        <w:autoSpaceDN w:val="0"/>
        <w:spacing w:before="120"/>
        <w:rPr>
          <w:rFonts w:ascii="Arial" w:hAnsi="Arial" w:cs="Arial"/>
          <w:b w:val="0"/>
          <w:sz w:val="22"/>
          <w:szCs w:val="22"/>
        </w:rPr>
      </w:pPr>
      <w:r>
        <w:rPr>
          <w:rFonts w:ascii="Arial" w:hAnsi="Arial" w:cs="Arial"/>
          <w:b w:val="0"/>
          <w:sz w:val="22"/>
          <w:szCs w:val="22"/>
        </w:rPr>
        <w:t xml:space="preserve">Jakékoliv změny na pronajatých nemovitých věcech, stavební úpravy, umístění jakékoliv reklamy či informačního zařízení a příp. i terénní úpravy pronajatých nemovitých </w:t>
      </w:r>
      <w:r>
        <w:rPr>
          <w:rFonts w:ascii="Arial" w:hAnsi="Arial" w:cs="Arial"/>
          <w:b w:val="0"/>
          <w:sz w:val="22"/>
          <w:szCs w:val="22"/>
        </w:rPr>
        <w:br/>
        <w:t>mají nájemci právo provádět jen na základě předchozího písemného souhlasu pronajímatele, jehož součástí bude i ujednání smluvních stran o tom, zda mají být úpravy k datu ukončení nájmu odstraněny a ujednání o vzájemném vyrovnání smluvních stran z důvodu zhodnocení pronajatých nemovitých věcí. Po udělení takového písemného souhlasu pak nájemci jakoukoliv změnu provádí na svůj náklad. Bez udělení písemného souhlasu nejsou nájemci oprávněni změny na pronajatých nemovitých věcech provést a nemají nárok na vyrovnání případného zhodnocení nemovitých věcí.</w:t>
      </w:r>
    </w:p>
    <w:p w:rsidR="00723ACD" w:rsidRDefault="00723ACD" w:rsidP="00723ACD">
      <w:pPr>
        <w:numPr>
          <w:ilvl w:val="0"/>
          <w:numId w:val="7"/>
        </w:numPr>
        <w:spacing w:before="120"/>
        <w:jc w:val="both"/>
        <w:rPr>
          <w:rFonts w:ascii="Arial" w:hAnsi="Arial" w:cs="Arial"/>
          <w:sz w:val="22"/>
          <w:szCs w:val="22"/>
        </w:rPr>
      </w:pPr>
      <w:r>
        <w:rPr>
          <w:rFonts w:ascii="Arial" w:hAnsi="Arial" w:cs="Arial"/>
          <w:sz w:val="22"/>
          <w:szCs w:val="22"/>
        </w:rPr>
        <w:t xml:space="preserve">Provedou-li nájemci změny na pronajatých nemovitých věcech bez písemného souhlasu pronajímatele a neuvedou-li na výzvu pronajímatele pronajaté věci do původního stavu, jedná se o zvlášť závažné porušení povinností nájemců vyplývající z této smlouvy </w:t>
      </w:r>
      <w:r>
        <w:rPr>
          <w:rFonts w:ascii="Arial" w:hAnsi="Arial" w:cs="Arial"/>
          <w:sz w:val="22"/>
          <w:szCs w:val="22"/>
        </w:rPr>
        <w:br/>
        <w:t xml:space="preserve">a pronajímatel může nájem vypovědět bez výpovědní doby a požadovat po nájemcích </w:t>
      </w:r>
      <w:r>
        <w:rPr>
          <w:rFonts w:ascii="Arial" w:hAnsi="Arial" w:cs="Arial"/>
          <w:sz w:val="22"/>
          <w:szCs w:val="22"/>
        </w:rPr>
        <w:br/>
        <w:t>i náhradu vynaložených nákladů v souvislosti s uvedením nemovitých věcí do původního stavu.</w:t>
      </w:r>
    </w:p>
    <w:p w:rsidR="00723ACD" w:rsidRDefault="00723ACD" w:rsidP="00723ACD">
      <w:pPr>
        <w:spacing w:before="120"/>
        <w:jc w:val="both"/>
        <w:rPr>
          <w:rFonts w:ascii="Arial" w:hAnsi="Arial" w:cs="Arial"/>
          <w:sz w:val="22"/>
          <w:szCs w:val="22"/>
        </w:rPr>
      </w:pPr>
    </w:p>
    <w:p w:rsidR="00723ACD" w:rsidRDefault="00723ACD" w:rsidP="00723ACD">
      <w:pPr>
        <w:pStyle w:val="para"/>
        <w:spacing w:before="120"/>
        <w:rPr>
          <w:rFonts w:ascii="Arial" w:hAnsi="Arial" w:cs="Arial"/>
          <w:sz w:val="22"/>
          <w:szCs w:val="22"/>
        </w:rPr>
      </w:pPr>
      <w:r>
        <w:rPr>
          <w:rFonts w:ascii="Arial" w:hAnsi="Arial" w:cs="Arial"/>
          <w:sz w:val="22"/>
          <w:szCs w:val="22"/>
        </w:rPr>
        <w:t>Čl. VI.</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 xml:space="preserve">Pronajímatel je povinen umožnit nájemcům užívat nemovité věci ke sjednanému účelu </w:t>
      </w:r>
      <w:r>
        <w:rPr>
          <w:rFonts w:ascii="Arial" w:hAnsi="Arial" w:cs="Arial"/>
          <w:b w:val="0"/>
          <w:sz w:val="22"/>
          <w:szCs w:val="22"/>
        </w:rPr>
        <w:br/>
        <w:t>a udržovat nemovité věci ve stavu způsobilém užívání.</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Nájemci jsou povinni užívat pronajaté nemovité věci pouze k ujednanému účelu. Dále jsou povinni dodržovat pravidla obvyklá pro chování v pronajatém domě a pokyny pronajímatele nezbytné pro zachování náležitého pořádku.</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 xml:space="preserve">Nájemci jsou povinni hradit náklady spojené s běžnou údržbou (např. náklady na udržování povrchu pronajatých pozemků a porostů na nich, jak trvalých, tak i travních), jakož i drobné opravy pronajatého domu dle nařízení vlády č. 308/2015 Sb., o vymezení pojmů běžná údržba a drobné opravy související s užíváním bytu, v účinném znění, a také náklady spojené s údržbou ostatních pronajatých nemovitých věcí (např. náklady na udržování povrchu pronajatých pozemků a porostů na nich, jak trvalých, tak i travních), a také náklady na opravy poškození, které sami způsobili. </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 xml:space="preserve">Nájemci jsou povinni oznámit pronajímateli poškození, popř. vadu, kterou v pronajatých nemovitých věcech zjistili (popř. měli a mohli při řádné péči zjistit), a to ihned nebo </w:t>
      </w:r>
      <w:r>
        <w:rPr>
          <w:rFonts w:ascii="Arial" w:hAnsi="Arial" w:cs="Arial"/>
          <w:b w:val="0"/>
          <w:sz w:val="22"/>
          <w:szCs w:val="22"/>
        </w:rPr>
        <w:br/>
        <w:t>bez zbytečného odkladu (dle závažnosti vady).</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lastRenderedPageBreak/>
        <w:t>Pronajímatel neodpovídá za vadu, o které v době uzavření této smlouvy nájemci věděli (popř. vědět mohli) a která nebrání užívání pronajatých nemovitých věcí.</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 xml:space="preserve">K zajištění ochrany zdraví a majetku v pronajatém domě uloží nájemci u pronajímatele náhradní klíče od pronajatého domu, které před uložením zapečetí v obálce. Nájemci jsou oprávněni kontrolovat stav pečeti náhradních klíčů. Tyto náhradní klíče lze použít pouze </w:t>
      </w:r>
      <w:r>
        <w:rPr>
          <w:rFonts w:ascii="Arial" w:hAnsi="Arial" w:cs="Arial"/>
          <w:b w:val="0"/>
          <w:sz w:val="22"/>
          <w:szCs w:val="22"/>
        </w:rPr>
        <w:br/>
        <w:t>v případě nezbytné potřeby při ochraně majetku a zdraví (zejména havárie a živelné katastrofy). O případném použití náhradních klíčů je pronajímatel povinen nájemce informovat předem, popřípadě neprodleně po použití těchto klíčů.</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 xml:space="preserve">Ví-li nájemci předem o své nepřítomnosti v pronajatém domě delší než dva měsíce </w:t>
      </w:r>
      <w:r>
        <w:rPr>
          <w:rFonts w:ascii="Arial" w:hAnsi="Arial" w:cs="Arial"/>
          <w:b w:val="0"/>
          <w:sz w:val="22"/>
          <w:szCs w:val="22"/>
        </w:rPr>
        <w:br/>
        <w:t>a o tom, že pronajatý dům</w:t>
      </w:r>
      <w:r>
        <w:rPr>
          <w:rFonts w:ascii="Arial" w:hAnsi="Arial" w:cs="Arial"/>
          <w:sz w:val="22"/>
          <w:szCs w:val="22"/>
        </w:rPr>
        <w:t xml:space="preserve"> </w:t>
      </w:r>
      <w:r>
        <w:rPr>
          <w:rFonts w:ascii="Arial" w:hAnsi="Arial" w:cs="Arial"/>
          <w:b w:val="0"/>
          <w:sz w:val="22"/>
          <w:szCs w:val="22"/>
        </w:rPr>
        <w:t xml:space="preserve">bude pro ně obtížně dostupný, oznámí to včas pronajímateli </w:t>
      </w:r>
      <w:r>
        <w:rPr>
          <w:rFonts w:ascii="Arial" w:hAnsi="Arial" w:cs="Arial"/>
          <w:b w:val="0"/>
          <w:sz w:val="22"/>
          <w:szCs w:val="22"/>
        </w:rPr>
        <w:br/>
        <w:t>a označí osobu, která po dobu jejich nepřítomnosti zajistí vstup do domu, pokud to bude nezbytně zapotřebí k ochraně zdraví či majetku. Neoznačí-li nájemci takovou osobu, popř. označená osoba nebude v případě potřeby dostupná, jedná se o případ, kdy bude pronajímatel postupovat dle Čl. VI. odst. 6.</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 xml:space="preserve">Nájemci jsou povinni oznámit pronajímateli zvýšení počtu osob žijících v pronajatém domě, </w:t>
      </w:r>
      <w:r>
        <w:rPr>
          <w:rFonts w:ascii="Arial" w:hAnsi="Arial" w:cs="Arial"/>
          <w:b w:val="0"/>
          <w:sz w:val="22"/>
          <w:szCs w:val="22"/>
        </w:rPr>
        <w:br/>
        <w:t>a to nejpozději do dvou měsíců, co změna nastala; pokud tak neučiní, poruší závažně svou povinnost.</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Nájemci jsou povinni dodržovat, aby v jejich domácnosti žil jen takový počet osob, který je přiměřený velikosti pronajatého domu a nebrání tomu, aby všechny mohly v bytu žít v obvyklých pohodlných a hygienicky vyhovujících podmínkách. Nájemci můžou za člena své domácnosti přijmout osobu, která není osobou blízkou, pouze na základě předchozího písemného souhlasu pronajímatele.</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V případě, že nájemci v pronajatém domě sami trvale nebydlí, můžou zřídit třetí osobě užívací právo (podnájem) jen v případě, vydá-li s tím pronajímatel písemný souhlas. Zřídí-li nájemci třetí osobě užívací právo k věci bez předchozího písemného souhlasu pronajímatele, jde o hrubé porušení povinností nájemce, které pronajímateli způsobuje vážnější újmu.</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 xml:space="preserve">Pronajímatel bude nájemcům zajišťovat následující </w:t>
      </w:r>
      <w:proofErr w:type="gramStart"/>
      <w:r>
        <w:rPr>
          <w:rFonts w:ascii="Arial" w:hAnsi="Arial" w:cs="Arial"/>
          <w:b w:val="0"/>
          <w:sz w:val="22"/>
          <w:szCs w:val="22"/>
        </w:rPr>
        <w:t>službu - dodávku</w:t>
      </w:r>
      <w:proofErr w:type="gramEnd"/>
      <w:r>
        <w:rPr>
          <w:rFonts w:ascii="Arial" w:hAnsi="Arial" w:cs="Arial"/>
          <w:b w:val="0"/>
          <w:sz w:val="22"/>
          <w:szCs w:val="22"/>
        </w:rPr>
        <w:t xml:space="preserve"> zkapalněného plynu.</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Pronajaté nemovité věci nesmí být využívány k výrobě, manipulaci a skladování výbušnin, prudce hořlavých materiálů, jedů, drog a dalším činnostem, které ohrožují nebo negativně působí na životní prostředí (zejména prašností, hlukem nebo exhalacemi). Nájemci nemají právo provozovat jinou činnost nebo změnit způsob nebo podmínky jejího výkonu, než jak je uvedeno v Čl. II. odst. 3.</w:t>
      </w:r>
    </w:p>
    <w:p w:rsidR="00723ACD" w:rsidRDefault="00723ACD" w:rsidP="00723ACD">
      <w:pPr>
        <w:pStyle w:val="Zkladntext"/>
        <w:numPr>
          <w:ilvl w:val="0"/>
          <w:numId w:val="8"/>
        </w:numPr>
        <w:autoSpaceDE w:val="0"/>
        <w:autoSpaceDN w:val="0"/>
        <w:spacing w:before="120"/>
        <w:ind w:left="357" w:hanging="357"/>
        <w:rPr>
          <w:rFonts w:ascii="Arial" w:hAnsi="Arial" w:cs="Arial"/>
          <w:b w:val="0"/>
          <w:sz w:val="22"/>
          <w:szCs w:val="22"/>
        </w:rPr>
      </w:pPr>
      <w:r>
        <w:rPr>
          <w:rFonts w:ascii="Arial" w:hAnsi="Arial" w:cs="Arial"/>
          <w:b w:val="0"/>
          <w:sz w:val="22"/>
          <w:szCs w:val="22"/>
        </w:rPr>
        <w:t>Nájemci jsou povinni umožnit pronajímateli na jeho žádost vstup na pronajaté nemovité věci, zejména za účelem kontroly dodržování podmínek této smlouvy, provádění potřebných oprav nebo provádění kontroly instalovaných inženýrských sítí.</w:t>
      </w:r>
    </w:p>
    <w:p w:rsidR="00723ACD" w:rsidRDefault="00723ACD" w:rsidP="00723ACD">
      <w:pPr>
        <w:pStyle w:val="Odstavecseseznamem"/>
        <w:spacing w:before="120"/>
        <w:ind w:left="0"/>
        <w:jc w:val="both"/>
        <w:rPr>
          <w:rFonts w:ascii="Arial" w:hAnsi="Arial" w:cs="Arial"/>
          <w:sz w:val="22"/>
          <w:szCs w:val="22"/>
        </w:rPr>
      </w:pPr>
    </w:p>
    <w:p w:rsidR="00723ACD" w:rsidRDefault="00723ACD" w:rsidP="00723ACD">
      <w:pPr>
        <w:pStyle w:val="para"/>
        <w:tabs>
          <w:tab w:val="center" w:pos="4536"/>
          <w:tab w:val="left" w:pos="5222"/>
        </w:tabs>
        <w:spacing w:before="120"/>
        <w:rPr>
          <w:rFonts w:ascii="Arial" w:hAnsi="Arial" w:cs="Arial"/>
          <w:sz w:val="22"/>
          <w:szCs w:val="22"/>
        </w:rPr>
      </w:pPr>
      <w:r>
        <w:rPr>
          <w:rFonts w:ascii="Arial" w:hAnsi="Arial" w:cs="Arial"/>
          <w:sz w:val="22"/>
          <w:szCs w:val="22"/>
        </w:rPr>
        <w:t>Čl. VII.</w:t>
      </w:r>
    </w:p>
    <w:p w:rsidR="00723ACD" w:rsidRDefault="00723ACD" w:rsidP="00723ACD">
      <w:pPr>
        <w:pStyle w:val="Odstavecseseznamem"/>
        <w:numPr>
          <w:ilvl w:val="0"/>
          <w:numId w:val="9"/>
        </w:numPr>
        <w:spacing w:before="120"/>
        <w:ind w:left="357" w:hanging="357"/>
        <w:jc w:val="both"/>
        <w:rPr>
          <w:rFonts w:ascii="Arial" w:hAnsi="Arial" w:cs="Arial"/>
          <w:sz w:val="22"/>
          <w:szCs w:val="22"/>
        </w:rPr>
      </w:pPr>
      <w:r>
        <w:rPr>
          <w:rFonts w:ascii="Arial" w:hAnsi="Arial" w:cs="Arial"/>
          <w:sz w:val="22"/>
          <w:szCs w:val="22"/>
        </w:rPr>
        <w:t xml:space="preserve">Nájem založený touto smlouvou končí uplynutím sjednané doby nájmu. Smluvní strany </w:t>
      </w:r>
      <w:r>
        <w:rPr>
          <w:rFonts w:ascii="Arial" w:hAnsi="Arial" w:cs="Arial"/>
          <w:sz w:val="22"/>
          <w:szCs w:val="22"/>
        </w:rPr>
        <w:br/>
        <w:t xml:space="preserve">se výslovně dohodly na vyloučení opětovného ujednání nájmu podle § 2285 zák. č. 89/2012 Sb. a ujednávají si, že nájem bez ohledu na uskutečnění výzvy k opuštění pronajatého domu, resp. pronajatých nemovitých věcí, končí ke sjednanému datu a případné další setrvání nájemců v pronajatém domě, resp. v pronajatých nemovitých věcech, nebude pokládáno </w:t>
      </w:r>
      <w:r>
        <w:rPr>
          <w:rFonts w:ascii="Arial" w:hAnsi="Arial" w:cs="Arial"/>
          <w:sz w:val="22"/>
          <w:szCs w:val="22"/>
        </w:rPr>
        <w:br/>
        <w:t>za opětovné ujednání nájmu.</w:t>
      </w:r>
    </w:p>
    <w:p w:rsidR="00723ACD" w:rsidRDefault="00723ACD" w:rsidP="00723ACD">
      <w:pPr>
        <w:numPr>
          <w:ilvl w:val="0"/>
          <w:numId w:val="9"/>
        </w:numPr>
        <w:spacing w:before="120"/>
        <w:ind w:left="357" w:hanging="357"/>
        <w:jc w:val="both"/>
        <w:rPr>
          <w:rFonts w:ascii="Arial" w:hAnsi="Arial" w:cs="Arial"/>
          <w:sz w:val="22"/>
          <w:szCs w:val="22"/>
        </w:rPr>
      </w:pPr>
      <w:r>
        <w:rPr>
          <w:rFonts w:ascii="Arial" w:hAnsi="Arial" w:cs="Arial"/>
          <w:sz w:val="22"/>
          <w:szCs w:val="22"/>
        </w:rPr>
        <w:t>Nájem založený touto smlouvou lze ukončit dohodou smluvních stran.</w:t>
      </w:r>
    </w:p>
    <w:p w:rsidR="00723ACD" w:rsidRDefault="00723ACD" w:rsidP="00723ACD">
      <w:pPr>
        <w:numPr>
          <w:ilvl w:val="0"/>
          <w:numId w:val="9"/>
        </w:numPr>
        <w:ind w:left="357" w:hanging="357"/>
        <w:jc w:val="both"/>
        <w:rPr>
          <w:rFonts w:ascii="Arial" w:hAnsi="Arial" w:cs="Arial"/>
          <w:sz w:val="22"/>
          <w:szCs w:val="22"/>
        </w:rPr>
      </w:pPr>
      <w:r>
        <w:rPr>
          <w:rFonts w:ascii="Arial" w:hAnsi="Arial" w:cs="Arial"/>
          <w:sz w:val="22"/>
          <w:szCs w:val="22"/>
        </w:rPr>
        <w:t>Nájemci jsou oprávněni vypovědět nájem pouze v případě, že se změní okolnosti, za nichž smlouvu uzavírali, a to do té míry, že nelze po nájemcích rozumně požadovat, aby nájem pokračoval.</w:t>
      </w:r>
    </w:p>
    <w:p w:rsidR="00723ACD" w:rsidRDefault="00723ACD" w:rsidP="00723ACD">
      <w:pPr>
        <w:ind w:left="357"/>
        <w:jc w:val="both"/>
        <w:rPr>
          <w:rFonts w:ascii="Arial" w:hAnsi="Arial" w:cs="Arial"/>
          <w:sz w:val="22"/>
          <w:szCs w:val="22"/>
        </w:rPr>
      </w:pPr>
    </w:p>
    <w:p w:rsidR="00723ACD" w:rsidRDefault="00723ACD" w:rsidP="00723ACD">
      <w:pPr>
        <w:numPr>
          <w:ilvl w:val="0"/>
          <w:numId w:val="9"/>
        </w:numPr>
        <w:ind w:left="357" w:hanging="357"/>
        <w:jc w:val="both"/>
        <w:rPr>
          <w:rFonts w:ascii="Arial" w:hAnsi="Arial" w:cs="Arial"/>
          <w:sz w:val="22"/>
          <w:szCs w:val="22"/>
        </w:rPr>
      </w:pPr>
      <w:r>
        <w:rPr>
          <w:rFonts w:ascii="Arial" w:hAnsi="Arial" w:cs="Arial"/>
          <w:sz w:val="22"/>
          <w:szCs w:val="22"/>
        </w:rPr>
        <w:t>Pronajímatel může vypovědět nájem s tříměsíční výpovědní lhůtou, pokud:</w:t>
      </w:r>
    </w:p>
    <w:p w:rsidR="00723ACD" w:rsidRDefault="00723ACD" w:rsidP="00723ACD">
      <w:pPr>
        <w:pStyle w:val="Zkladntext"/>
        <w:ind w:left="426" w:hanging="426"/>
        <w:rPr>
          <w:rFonts w:ascii="Arial" w:hAnsi="Arial" w:cs="Arial"/>
          <w:b w:val="0"/>
          <w:sz w:val="22"/>
          <w:szCs w:val="22"/>
        </w:rPr>
      </w:pPr>
    </w:p>
    <w:p w:rsidR="00723ACD" w:rsidRDefault="00723ACD" w:rsidP="00723ACD">
      <w:pPr>
        <w:pStyle w:val="Zkladntext"/>
        <w:numPr>
          <w:ilvl w:val="0"/>
          <w:numId w:val="10"/>
        </w:numPr>
        <w:autoSpaceDE w:val="0"/>
        <w:autoSpaceDN w:val="0"/>
        <w:ind w:left="709"/>
        <w:rPr>
          <w:rFonts w:ascii="Arial" w:hAnsi="Arial" w:cs="Arial"/>
          <w:b w:val="0"/>
          <w:sz w:val="22"/>
          <w:szCs w:val="22"/>
        </w:rPr>
      </w:pPr>
      <w:r>
        <w:rPr>
          <w:rFonts w:ascii="Arial" w:hAnsi="Arial" w:cs="Arial"/>
          <w:b w:val="0"/>
          <w:sz w:val="22"/>
          <w:szCs w:val="22"/>
        </w:rPr>
        <w:t>nájemci poruší hrubě svou povinnost, zejména tím, že zřídí třetí osobě užívací právo (podnájem) bez předchozího písemného souhlasu pronajímatele,</w:t>
      </w:r>
    </w:p>
    <w:p w:rsidR="00723ACD" w:rsidRDefault="00723ACD" w:rsidP="00723ACD">
      <w:pPr>
        <w:pStyle w:val="Zkladntext"/>
        <w:numPr>
          <w:ilvl w:val="0"/>
          <w:numId w:val="10"/>
        </w:numPr>
        <w:autoSpaceDE w:val="0"/>
        <w:autoSpaceDN w:val="0"/>
        <w:ind w:left="709"/>
        <w:rPr>
          <w:rFonts w:ascii="Arial" w:hAnsi="Arial" w:cs="Arial"/>
          <w:b w:val="0"/>
          <w:sz w:val="22"/>
          <w:szCs w:val="22"/>
        </w:rPr>
      </w:pPr>
      <w:r>
        <w:rPr>
          <w:rFonts w:ascii="Arial" w:hAnsi="Arial" w:cs="Arial"/>
          <w:b w:val="0"/>
          <w:sz w:val="22"/>
          <w:szCs w:val="22"/>
        </w:rPr>
        <w:t>je-li nájemce odsouzen pro úmyslný trestný čin spáchaný na pronajímateli nebo na osobě, která bydlí v pronajatém domě, nebo proti cizímu majetku, který se v tomto domě nachází,</w:t>
      </w:r>
    </w:p>
    <w:p w:rsidR="00723ACD" w:rsidRDefault="00723ACD" w:rsidP="00723ACD">
      <w:pPr>
        <w:pStyle w:val="Zkladntext"/>
        <w:numPr>
          <w:ilvl w:val="0"/>
          <w:numId w:val="10"/>
        </w:numPr>
        <w:autoSpaceDE w:val="0"/>
        <w:autoSpaceDN w:val="0"/>
        <w:ind w:left="709"/>
        <w:rPr>
          <w:rFonts w:ascii="Arial" w:hAnsi="Arial" w:cs="Arial"/>
          <w:b w:val="0"/>
          <w:sz w:val="22"/>
          <w:szCs w:val="22"/>
        </w:rPr>
      </w:pPr>
      <w:r>
        <w:rPr>
          <w:rFonts w:ascii="Arial" w:hAnsi="Arial" w:cs="Arial"/>
          <w:b w:val="0"/>
          <w:sz w:val="22"/>
          <w:szCs w:val="22"/>
        </w:rPr>
        <w:lastRenderedPageBreak/>
        <w:t>má-li být pronajatý dům vyklizen, protože z důvodu veřejného zájmu je potřebné s domem naložit tak, že dům nebude možné vůbec užívat,</w:t>
      </w:r>
    </w:p>
    <w:p w:rsidR="00723ACD" w:rsidRDefault="00723ACD" w:rsidP="00723ACD">
      <w:pPr>
        <w:pStyle w:val="Zkladntext"/>
        <w:numPr>
          <w:ilvl w:val="0"/>
          <w:numId w:val="10"/>
        </w:numPr>
        <w:autoSpaceDE w:val="0"/>
        <w:autoSpaceDN w:val="0"/>
        <w:ind w:left="709"/>
        <w:rPr>
          <w:rFonts w:ascii="Arial" w:hAnsi="Arial" w:cs="Arial"/>
          <w:b w:val="0"/>
          <w:sz w:val="22"/>
          <w:szCs w:val="22"/>
        </w:rPr>
      </w:pPr>
      <w:r>
        <w:rPr>
          <w:rFonts w:ascii="Arial" w:hAnsi="Arial" w:cs="Arial"/>
          <w:b w:val="0"/>
          <w:sz w:val="22"/>
          <w:szCs w:val="22"/>
        </w:rPr>
        <w:t>je-li tu jiný obdobně závažný důvod pro vypovězení nájmu, zejména pokud přestanou být plněny podmínky uvedené v ustanovení § 27 odst. 1 zákona č. 219/2000 Sb.</w:t>
      </w:r>
    </w:p>
    <w:p w:rsidR="00723ACD" w:rsidRDefault="00723ACD" w:rsidP="00723ACD">
      <w:pPr>
        <w:pStyle w:val="Zkladntext"/>
        <w:autoSpaceDE w:val="0"/>
        <w:autoSpaceDN w:val="0"/>
        <w:ind w:left="709"/>
        <w:rPr>
          <w:rFonts w:ascii="Arial" w:hAnsi="Arial" w:cs="Arial"/>
          <w:b w:val="0"/>
          <w:sz w:val="22"/>
          <w:szCs w:val="22"/>
        </w:rPr>
      </w:pPr>
    </w:p>
    <w:p w:rsidR="00723ACD" w:rsidRDefault="00723ACD" w:rsidP="00723ACD">
      <w:pPr>
        <w:numPr>
          <w:ilvl w:val="0"/>
          <w:numId w:val="9"/>
        </w:numPr>
        <w:ind w:left="357" w:hanging="357"/>
        <w:jc w:val="both"/>
        <w:rPr>
          <w:rFonts w:ascii="Arial" w:hAnsi="Arial" w:cs="Arial"/>
          <w:sz w:val="22"/>
          <w:szCs w:val="22"/>
        </w:rPr>
      </w:pPr>
      <w:r>
        <w:rPr>
          <w:rFonts w:ascii="Arial" w:hAnsi="Arial" w:cs="Arial"/>
          <w:sz w:val="22"/>
          <w:szCs w:val="22"/>
        </w:rPr>
        <w:t xml:space="preserve">Výpovědní doba činí tři měsíce a počne běžet prvním dnem měsíce následujícího </w:t>
      </w:r>
      <w:r>
        <w:rPr>
          <w:rFonts w:ascii="Arial" w:hAnsi="Arial" w:cs="Arial"/>
          <w:sz w:val="22"/>
          <w:szCs w:val="22"/>
        </w:rPr>
        <w:br/>
        <w:t xml:space="preserve">po doručení písemné výpovědi druhé smluvní straně </w:t>
      </w:r>
    </w:p>
    <w:p w:rsidR="00723ACD" w:rsidRDefault="00723ACD" w:rsidP="00723ACD">
      <w:pPr>
        <w:numPr>
          <w:ilvl w:val="0"/>
          <w:numId w:val="9"/>
        </w:numPr>
        <w:spacing w:before="120"/>
        <w:ind w:left="357" w:hanging="357"/>
        <w:jc w:val="both"/>
        <w:rPr>
          <w:rFonts w:ascii="Arial" w:hAnsi="Arial" w:cs="Arial"/>
          <w:sz w:val="22"/>
          <w:szCs w:val="22"/>
        </w:rPr>
      </w:pPr>
      <w:r>
        <w:rPr>
          <w:rFonts w:ascii="Arial" w:hAnsi="Arial" w:cs="Arial"/>
          <w:sz w:val="22"/>
          <w:szCs w:val="22"/>
        </w:rPr>
        <w:t>Pronajímatel může vypovědět nájem bez výpovědní lhůty v případě, že nájemci poruší svou povinnost zvlášť závažným způsobem, zejména tím, že nezaplatí nájemné a náklady na služby za dobu alespoň tří měsíců, poškozují pronajatý dům i další pronajaté nemovité věci závažným způsobem nebo nenapravitelným způsobem, způsobují-li jinak závažné škody nebo obtíže pronajímateli nebo osobám, které v pronajatém domě bydlí nebo užívají neoprávněně pronajatý dům resp. pronajaté věci jiným způsobem, nebo k jinému účelu, než bylo ujednáno a přes výzvu pronajímatele své závadné chování ve stanovené lhůtě neodstraní.</w:t>
      </w:r>
    </w:p>
    <w:p w:rsidR="00723ACD" w:rsidRDefault="00723ACD" w:rsidP="00723ACD">
      <w:pPr>
        <w:pStyle w:val="para"/>
        <w:tabs>
          <w:tab w:val="center" w:pos="4536"/>
          <w:tab w:val="left" w:pos="5222"/>
        </w:tabs>
        <w:spacing w:before="120"/>
        <w:jc w:val="left"/>
        <w:rPr>
          <w:rFonts w:ascii="Arial" w:hAnsi="Arial" w:cs="Arial"/>
          <w:sz w:val="22"/>
          <w:szCs w:val="22"/>
        </w:rPr>
      </w:pPr>
    </w:p>
    <w:p w:rsidR="00723ACD" w:rsidRDefault="00723ACD" w:rsidP="00723ACD">
      <w:pPr>
        <w:pStyle w:val="para"/>
        <w:tabs>
          <w:tab w:val="center" w:pos="4536"/>
          <w:tab w:val="left" w:pos="5222"/>
        </w:tabs>
        <w:spacing w:before="120"/>
        <w:rPr>
          <w:rFonts w:ascii="Arial" w:hAnsi="Arial" w:cs="Arial"/>
          <w:sz w:val="22"/>
          <w:szCs w:val="22"/>
        </w:rPr>
      </w:pPr>
      <w:r>
        <w:rPr>
          <w:rFonts w:ascii="Arial" w:hAnsi="Arial" w:cs="Arial"/>
          <w:sz w:val="22"/>
          <w:szCs w:val="22"/>
        </w:rPr>
        <w:t>Čl. VIII.</w:t>
      </w:r>
    </w:p>
    <w:p w:rsidR="00723ACD" w:rsidRDefault="00723ACD" w:rsidP="00723ACD">
      <w:pPr>
        <w:pStyle w:val="Zkladntext"/>
        <w:autoSpaceDE w:val="0"/>
        <w:autoSpaceDN w:val="0"/>
        <w:spacing w:before="120"/>
        <w:rPr>
          <w:rFonts w:ascii="Arial" w:hAnsi="Arial" w:cs="Arial"/>
          <w:b w:val="0"/>
          <w:sz w:val="22"/>
          <w:szCs w:val="22"/>
        </w:rPr>
      </w:pPr>
      <w:r>
        <w:rPr>
          <w:rFonts w:ascii="Arial" w:hAnsi="Arial" w:cs="Arial"/>
          <w:b w:val="0"/>
          <w:sz w:val="22"/>
          <w:szCs w:val="22"/>
        </w:rPr>
        <w:t>Nejpozději v den skončení nájmu, předají nájemci pronajímateli pronajaté nemovité věci vyklizené, resp. uvedené do původního stavu, případně ve stavu, v jakém je převzali s přihlédnutím k obvyklému opotřebení. O faktickém předání a převzetí pronajatých nemovitých věcí bude smluvními stranami sepsán protokol o předání a převzetí, ve kterém bude uveden jejich stav. Pronajímatel má právo na náhradu ve výši ujednaného nájemného, neodevzdají-li nájemci pronajaté nemovité věci pronajímateli v den skončení nájmu až do dne, kdy nájemci pronajaté nemovité věci skutečně odevzdají.</w:t>
      </w:r>
    </w:p>
    <w:p w:rsidR="00723ACD" w:rsidRDefault="00723ACD" w:rsidP="00723ACD">
      <w:pPr>
        <w:pStyle w:val="Zkladntext"/>
        <w:autoSpaceDE w:val="0"/>
        <w:autoSpaceDN w:val="0"/>
        <w:spacing w:before="120"/>
        <w:rPr>
          <w:rFonts w:ascii="Arial" w:hAnsi="Arial" w:cs="Arial"/>
          <w:b w:val="0"/>
          <w:sz w:val="22"/>
          <w:szCs w:val="22"/>
        </w:rPr>
      </w:pPr>
    </w:p>
    <w:p w:rsidR="00723ACD" w:rsidRDefault="00723ACD" w:rsidP="00723ACD">
      <w:pPr>
        <w:pStyle w:val="para"/>
        <w:tabs>
          <w:tab w:val="center" w:pos="4536"/>
          <w:tab w:val="left" w:pos="5222"/>
        </w:tabs>
        <w:spacing w:before="120"/>
        <w:rPr>
          <w:rFonts w:ascii="Arial" w:hAnsi="Arial" w:cs="Arial"/>
          <w:sz w:val="22"/>
          <w:szCs w:val="22"/>
        </w:rPr>
      </w:pPr>
      <w:r>
        <w:rPr>
          <w:rFonts w:ascii="Arial" w:hAnsi="Arial" w:cs="Arial"/>
          <w:sz w:val="22"/>
          <w:szCs w:val="22"/>
        </w:rPr>
        <w:t>Čl. IX.</w:t>
      </w:r>
    </w:p>
    <w:p w:rsidR="00723ACD" w:rsidRDefault="00723ACD" w:rsidP="00723ACD">
      <w:pPr>
        <w:pStyle w:val="vnintext"/>
        <w:ind w:left="357" w:firstLine="0"/>
        <w:rPr>
          <w:rFonts w:ascii="Arial" w:hAnsi="Arial" w:cs="Arial"/>
          <w:sz w:val="22"/>
          <w:szCs w:val="22"/>
        </w:rPr>
      </w:pPr>
    </w:p>
    <w:p w:rsidR="00723ACD" w:rsidRDefault="00723ACD" w:rsidP="00723ACD">
      <w:pPr>
        <w:pStyle w:val="vnintext"/>
        <w:numPr>
          <w:ilvl w:val="0"/>
          <w:numId w:val="11"/>
        </w:numPr>
        <w:rPr>
          <w:rFonts w:ascii="Arial" w:hAnsi="Arial" w:cs="Arial"/>
          <w:sz w:val="22"/>
          <w:szCs w:val="22"/>
        </w:rPr>
      </w:pPr>
      <w:r>
        <w:rPr>
          <w:rFonts w:ascii="Arial" w:hAnsi="Arial" w:cs="Arial"/>
          <w:sz w:val="22"/>
          <w:szCs w:val="22"/>
        </w:rPr>
        <w:t>Neuhradí-li nájemci splatné nájemné, popř. jakoukoliv jinou platbu, na základě této smlouvy, řádně a včas, přísluší pronajímateli zákonný úrok z prodlení dle platných právních předpisů. Právo pronajímatele na náhradu škody ve smyslu § 1971 zákona č. 89/2012 Sb.</w:t>
      </w:r>
      <w:r>
        <w:rPr>
          <w:rFonts w:ascii="Arial" w:hAnsi="Arial" w:cs="Arial"/>
          <w:sz w:val="22"/>
          <w:szCs w:val="22"/>
        </w:rPr>
        <w:t>,</w:t>
      </w:r>
      <w:r>
        <w:rPr>
          <w:rFonts w:ascii="Arial" w:hAnsi="Arial" w:cs="Arial"/>
          <w:sz w:val="22"/>
          <w:szCs w:val="22"/>
        </w:rPr>
        <w:t xml:space="preserve"> tím není dotčeno.</w:t>
      </w:r>
    </w:p>
    <w:p w:rsidR="00723ACD" w:rsidRDefault="00723ACD" w:rsidP="00723ACD">
      <w:pPr>
        <w:pStyle w:val="vnintext"/>
        <w:ind w:firstLine="0"/>
        <w:rPr>
          <w:rFonts w:ascii="Arial" w:hAnsi="Arial" w:cs="Arial"/>
          <w:sz w:val="22"/>
          <w:szCs w:val="22"/>
        </w:rPr>
      </w:pPr>
    </w:p>
    <w:p w:rsidR="00723ACD" w:rsidRDefault="00723ACD" w:rsidP="00723ACD">
      <w:pPr>
        <w:pStyle w:val="vnintext"/>
        <w:numPr>
          <w:ilvl w:val="0"/>
          <w:numId w:val="11"/>
        </w:numPr>
        <w:rPr>
          <w:rFonts w:ascii="Arial" w:hAnsi="Arial" w:cs="Arial"/>
          <w:snapToGrid w:val="0"/>
          <w:sz w:val="22"/>
          <w:szCs w:val="22"/>
        </w:rPr>
      </w:pPr>
      <w:r>
        <w:rPr>
          <w:rFonts w:ascii="Arial" w:hAnsi="Arial" w:cs="Arial"/>
          <w:sz w:val="22"/>
          <w:szCs w:val="22"/>
        </w:rPr>
        <w:t>Pro případ porušení povinností nájemců uvedených v Čl. VIII. sjednávají smluvní strany smluvní pokutu ve výši 0,3 % ročního nájemného za každý započatý den prodlení</w:t>
      </w:r>
      <w:r>
        <w:rPr>
          <w:rFonts w:ascii="Arial" w:hAnsi="Arial" w:cs="Arial"/>
          <w:i/>
          <w:sz w:val="22"/>
          <w:szCs w:val="22"/>
        </w:rPr>
        <w:t xml:space="preserve">, </w:t>
      </w:r>
      <w:r>
        <w:rPr>
          <w:rFonts w:ascii="Arial" w:hAnsi="Arial" w:cs="Arial"/>
          <w:sz w:val="22"/>
          <w:szCs w:val="22"/>
        </w:rPr>
        <w:t xml:space="preserve">která je splatná ve lhůtě 15 kalendářních dní od doručení příslušné výzvy povinné smluvní straně       na její adresu, uvedenou v záhlaví této smlouvy. </w:t>
      </w:r>
      <w:r>
        <w:rPr>
          <w:rFonts w:ascii="Arial" w:eastAsia="HiddenHorzOCR" w:hAnsi="Arial" w:cs="Arial"/>
          <w:sz w:val="22"/>
          <w:szCs w:val="22"/>
        </w:rPr>
        <w:t xml:space="preserve">Uhrazením smluvní pokuty není dotčen nárok pronajímatele na náhradu škody </w:t>
      </w:r>
      <w:r>
        <w:rPr>
          <w:rFonts w:ascii="Arial" w:hAnsi="Arial" w:cs="Arial"/>
          <w:sz w:val="22"/>
          <w:szCs w:val="22"/>
        </w:rPr>
        <w:t>způsobenou porušením povinnosti nájemce</w:t>
      </w:r>
      <w:r>
        <w:rPr>
          <w:rFonts w:ascii="Arial" w:eastAsia="HiddenHorzOCR" w:hAnsi="Arial" w:cs="Arial"/>
          <w:sz w:val="22"/>
          <w:szCs w:val="22"/>
        </w:rPr>
        <w:t>, ustanovení § 2050 zákona č. 89/2012 Sb.</w:t>
      </w:r>
      <w:r>
        <w:rPr>
          <w:rFonts w:ascii="Arial" w:eastAsia="HiddenHorzOCR" w:hAnsi="Arial" w:cs="Arial"/>
          <w:sz w:val="22"/>
          <w:szCs w:val="22"/>
        </w:rPr>
        <w:t>,</w:t>
      </w:r>
      <w:bookmarkStart w:id="0" w:name="_GoBack"/>
      <w:bookmarkEnd w:id="0"/>
      <w:r>
        <w:rPr>
          <w:rFonts w:ascii="Arial" w:eastAsia="HiddenHorzOCR" w:hAnsi="Arial" w:cs="Arial"/>
          <w:sz w:val="22"/>
          <w:szCs w:val="22"/>
        </w:rPr>
        <w:t xml:space="preserve"> se nepoužije</w:t>
      </w:r>
      <w:r>
        <w:rPr>
          <w:rFonts w:ascii="Arial" w:hAnsi="Arial" w:cs="Arial"/>
          <w:snapToGrid w:val="0"/>
          <w:sz w:val="22"/>
          <w:szCs w:val="22"/>
        </w:rPr>
        <w:t>.</w:t>
      </w:r>
    </w:p>
    <w:p w:rsidR="00723ACD" w:rsidRDefault="00723ACD" w:rsidP="00723ACD">
      <w:pPr>
        <w:pStyle w:val="vnintext"/>
        <w:ind w:firstLine="0"/>
        <w:rPr>
          <w:rFonts w:ascii="Arial" w:hAnsi="Arial" w:cs="Arial"/>
          <w:snapToGrid w:val="0"/>
          <w:sz w:val="22"/>
          <w:szCs w:val="22"/>
        </w:rPr>
      </w:pPr>
    </w:p>
    <w:p w:rsidR="00723ACD" w:rsidRDefault="00723ACD" w:rsidP="00723ACD">
      <w:pPr>
        <w:pStyle w:val="vnintext"/>
        <w:numPr>
          <w:ilvl w:val="0"/>
          <w:numId w:val="11"/>
        </w:numPr>
        <w:rPr>
          <w:rFonts w:ascii="Arial" w:hAnsi="Arial" w:cs="Arial"/>
          <w:sz w:val="22"/>
          <w:szCs w:val="22"/>
        </w:rPr>
      </w:pPr>
      <w:r>
        <w:rPr>
          <w:rFonts w:ascii="Arial" w:hAnsi="Arial" w:cs="Arial"/>
          <w:sz w:val="22"/>
          <w:szCs w:val="22"/>
        </w:rPr>
        <w:t>Celková výše smluvní pokuty nepřevýší trojnásobek měsíčního nájemného.</w:t>
      </w:r>
    </w:p>
    <w:p w:rsidR="00723ACD" w:rsidRDefault="00723ACD" w:rsidP="00723ACD">
      <w:pPr>
        <w:pStyle w:val="Textkomente"/>
        <w:numPr>
          <w:ilvl w:val="0"/>
          <w:numId w:val="11"/>
        </w:numPr>
        <w:spacing w:before="120" w:after="160"/>
        <w:jc w:val="both"/>
        <w:rPr>
          <w:rFonts w:ascii="Arial" w:hAnsi="Arial" w:cs="Arial"/>
          <w:sz w:val="22"/>
          <w:szCs w:val="22"/>
        </w:rPr>
      </w:pPr>
      <w:r>
        <w:rPr>
          <w:rFonts w:ascii="Arial" w:hAnsi="Arial" w:cs="Arial"/>
          <w:sz w:val="22"/>
          <w:szCs w:val="22"/>
        </w:rPr>
        <w:t>Smluvní sankce dle této smlouvy jsou splatné do 15 kalendářních</w:t>
      </w:r>
      <w:r>
        <w:rPr>
          <w:rFonts w:ascii="Arial" w:eastAsia="HiddenHorzOCR" w:hAnsi="Arial" w:cs="Arial"/>
          <w:sz w:val="22"/>
          <w:szCs w:val="22"/>
        </w:rPr>
        <w:t xml:space="preserve"> dní </w:t>
      </w:r>
      <w:r>
        <w:rPr>
          <w:rFonts w:ascii="Arial" w:hAnsi="Arial" w:cs="Arial"/>
          <w:sz w:val="22"/>
          <w:szCs w:val="22"/>
        </w:rPr>
        <w:t xml:space="preserve">od písemné výzvy odeslané druhé smluvní </w:t>
      </w:r>
      <w:r>
        <w:rPr>
          <w:rFonts w:ascii="Arial" w:eastAsia="HiddenHorzOCR" w:hAnsi="Arial" w:cs="Arial"/>
          <w:sz w:val="22"/>
          <w:szCs w:val="22"/>
        </w:rPr>
        <w:t xml:space="preserve">straně </w:t>
      </w:r>
      <w:r>
        <w:rPr>
          <w:rFonts w:ascii="Arial" w:hAnsi="Arial" w:cs="Arial"/>
          <w:sz w:val="22"/>
          <w:szCs w:val="22"/>
        </w:rPr>
        <w:t>na její adresu, uvedenou v záhlaví této smlouvy.</w:t>
      </w:r>
    </w:p>
    <w:p w:rsidR="00723ACD" w:rsidRDefault="00723ACD" w:rsidP="00723ACD">
      <w:pPr>
        <w:pStyle w:val="Odstavecseseznamem"/>
        <w:spacing w:before="120"/>
        <w:ind w:left="0"/>
        <w:jc w:val="both"/>
        <w:rPr>
          <w:rFonts w:ascii="Arial" w:hAnsi="Arial" w:cs="Arial"/>
          <w:sz w:val="22"/>
          <w:szCs w:val="22"/>
        </w:rPr>
      </w:pPr>
    </w:p>
    <w:p w:rsidR="00723ACD" w:rsidRDefault="00723ACD" w:rsidP="00723ACD">
      <w:pPr>
        <w:pStyle w:val="Odstavecseseznamem"/>
        <w:spacing w:before="120"/>
        <w:ind w:left="0"/>
        <w:jc w:val="both"/>
        <w:rPr>
          <w:rFonts w:ascii="Arial" w:hAnsi="Arial" w:cs="Arial"/>
          <w:sz w:val="22"/>
          <w:szCs w:val="22"/>
        </w:rPr>
      </w:pPr>
    </w:p>
    <w:p w:rsidR="00723ACD" w:rsidRDefault="00723ACD" w:rsidP="00723ACD">
      <w:pPr>
        <w:pStyle w:val="Odstavecseseznamem"/>
        <w:spacing w:before="120"/>
        <w:ind w:left="0"/>
        <w:jc w:val="both"/>
        <w:rPr>
          <w:rFonts w:ascii="Arial" w:hAnsi="Arial" w:cs="Arial"/>
          <w:sz w:val="22"/>
          <w:szCs w:val="22"/>
        </w:rPr>
      </w:pPr>
    </w:p>
    <w:p w:rsidR="00723ACD" w:rsidRDefault="00723ACD" w:rsidP="00723ACD">
      <w:pPr>
        <w:pStyle w:val="para"/>
        <w:spacing w:before="120"/>
        <w:rPr>
          <w:rFonts w:ascii="Arial" w:hAnsi="Arial" w:cs="Arial"/>
          <w:sz w:val="22"/>
          <w:szCs w:val="22"/>
        </w:rPr>
      </w:pPr>
      <w:r>
        <w:rPr>
          <w:rFonts w:ascii="Arial" w:hAnsi="Arial" w:cs="Arial"/>
          <w:sz w:val="22"/>
          <w:szCs w:val="22"/>
        </w:rPr>
        <w:t>Čl. X.</w:t>
      </w:r>
    </w:p>
    <w:p w:rsidR="00723ACD" w:rsidRDefault="00723ACD" w:rsidP="00723ACD">
      <w:pPr>
        <w:pStyle w:val="Odstavecseseznamem"/>
        <w:numPr>
          <w:ilvl w:val="0"/>
          <w:numId w:val="12"/>
        </w:numPr>
        <w:shd w:val="clear" w:color="auto" w:fill="FFFFFF"/>
        <w:ind w:left="426" w:hanging="426"/>
        <w:jc w:val="both"/>
        <w:outlineLvl w:val="0"/>
        <w:rPr>
          <w:rFonts w:ascii="Arial" w:hAnsi="Arial" w:cs="Arial"/>
          <w:sz w:val="22"/>
          <w:szCs w:val="22"/>
        </w:rPr>
      </w:pPr>
      <w:r>
        <w:rPr>
          <w:rFonts w:ascii="Arial" w:hAnsi="Arial" w:cs="Arial"/>
          <w:sz w:val="22"/>
          <w:szCs w:val="22"/>
        </w:rPr>
        <w:t>Smlouva je uzavřena a nabývá platnosti okamžikem podpisu poslední smluvní stranou.</w:t>
      </w:r>
    </w:p>
    <w:p w:rsidR="00723ACD" w:rsidRDefault="00723ACD" w:rsidP="00723ACD">
      <w:pPr>
        <w:pStyle w:val="Odstavecseseznamem"/>
        <w:shd w:val="clear" w:color="auto" w:fill="FFFFFF"/>
        <w:ind w:left="426"/>
        <w:jc w:val="both"/>
        <w:outlineLvl w:val="0"/>
        <w:rPr>
          <w:rFonts w:ascii="Arial" w:hAnsi="Arial" w:cs="Arial"/>
          <w:sz w:val="22"/>
          <w:szCs w:val="22"/>
        </w:rPr>
      </w:pPr>
    </w:p>
    <w:p w:rsidR="00723ACD" w:rsidRDefault="00723ACD" w:rsidP="00723ACD">
      <w:pPr>
        <w:pStyle w:val="Odstavecseseznamem"/>
        <w:numPr>
          <w:ilvl w:val="0"/>
          <w:numId w:val="12"/>
        </w:numPr>
        <w:shd w:val="clear" w:color="auto" w:fill="FFFFFF"/>
        <w:ind w:left="426" w:hanging="426"/>
        <w:jc w:val="both"/>
        <w:outlineLvl w:val="0"/>
        <w:rPr>
          <w:rFonts w:ascii="Arial" w:hAnsi="Arial" w:cs="Arial"/>
          <w:sz w:val="22"/>
          <w:szCs w:val="22"/>
        </w:rPr>
      </w:pPr>
      <w:r>
        <w:rPr>
          <w:rFonts w:ascii="Arial" w:hAnsi="Arial" w:cs="Arial"/>
          <w:sz w:val="22"/>
          <w:szCs w:val="22"/>
        </w:rPr>
        <w:t xml:space="preserve">Smlouva nabývá účinnosti dnem jejího uveřejnění v registru smluv v souladu se zákonem </w:t>
      </w:r>
      <w:r>
        <w:rPr>
          <w:rFonts w:ascii="Arial" w:hAnsi="Arial" w:cs="Arial"/>
          <w:sz w:val="22"/>
          <w:szCs w:val="22"/>
        </w:rPr>
        <w:br/>
        <w:t>č. 340/2015 Sb., o zvláštních podmínkách účinnosti některých smluv, uveřejňování těchto smluv a o registru smluv (zákon o registru smluv), ve znění pozdějších předpisů.</w:t>
      </w:r>
    </w:p>
    <w:p w:rsidR="00723ACD" w:rsidRDefault="00723ACD" w:rsidP="00723ACD">
      <w:pPr>
        <w:pStyle w:val="Odstavecseseznamem"/>
        <w:shd w:val="clear" w:color="auto" w:fill="FFFFFF"/>
        <w:ind w:left="426"/>
        <w:jc w:val="both"/>
        <w:outlineLvl w:val="0"/>
        <w:rPr>
          <w:rFonts w:ascii="Arial" w:hAnsi="Arial" w:cs="Arial"/>
          <w:sz w:val="22"/>
          <w:szCs w:val="22"/>
        </w:rPr>
      </w:pPr>
    </w:p>
    <w:p w:rsidR="00723ACD" w:rsidRDefault="00723ACD" w:rsidP="00723ACD">
      <w:pPr>
        <w:pStyle w:val="vnintext"/>
        <w:numPr>
          <w:ilvl w:val="0"/>
          <w:numId w:val="12"/>
        </w:numPr>
        <w:ind w:left="426" w:hanging="426"/>
        <w:rPr>
          <w:rFonts w:ascii="Arial" w:hAnsi="Arial" w:cs="Arial"/>
          <w:sz w:val="22"/>
          <w:szCs w:val="22"/>
        </w:rPr>
      </w:pPr>
      <w:r>
        <w:rPr>
          <w:rFonts w:ascii="Arial" w:hAnsi="Arial" w:cs="Arial"/>
          <w:sz w:val="22"/>
          <w:szCs w:val="22"/>
        </w:rPr>
        <w:t xml:space="preserve">Pronajímatel zašle tuto smlouvu správci registru smluv k uveřejnění bez zbytečného odkladu, nejpozději však do 30 dnů od uzavření smlouvy. </w:t>
      </w:r>
    </w:p>
    <w:p w:rsidR="00723ACD" w:rsidRDefault="00723ACD" w:rsidP="00723ACD">
      <w:pPr>
        <w:pStyle w:val="vnintext"/>
        <w:ind w:left="426" w:firstLine="0"/>
        <w:rPr>
          <w:rFonts w:ascii="Arial" w:hAnsi="Arial" w:cs="Arial"/>
          <w:sz w:val="22"/>
          <w:szCs w:val="22"/>
        </w:rPr>
      </w:pPr>
    </w:p>
    <w:p w:rsidR="00723ACD" w:rsidRPr="00BA5F56" w:rsidRDefault="00723ACD" w:rsidP="00723ACD">
      <w:pPr>
        <w:pStyle w:val="vnintext"/>
        <w:numPr>
          <w:ilvl w:val="0"/>
          <w:numId w:val="12"/>
        </w:numPr>
        <w:ind w:left="426" w:hanging="426"/>
        <w:rPr>
          <w:rFonts w:ascii="Arial" w:hAnsi="Arial" w:cs="Arial"/>
          <w:sz w:val="20"/>
        </w:rPr>
      </w:pPr>
      <w:r>
        <w:rPr>
          <w:rFonts w:ascii="Arial" w:hAnsi="Arial" w:cs="Arial"/>
          <w:sz w:val="22"/>
          <w:szCs w:val="22"/>
        </w:rPr>
        <w:lastRenderedPageBreak/>
        <w:t xml:space="preserve">Pronajímatel předá nájemcům doklad o uveřejnění smlouvy v registru smluv </w:t>
      </w:r>
      <w:r>
        <w:rPr>
          <w:rFonts w:ascii="Arial" w:hAnsi="Arial" w:cs="Arial"/>
          <w:sz w:val="22"/>
          <w:szCs w:val="22"/>
        </w:rPr>
        <w:br/>
        <w:t xml:space="preserve">podle § 5 odst. 4 zákona č. 340/2015 Sb., o registru smluv, jako potvrzení skutečnosti, </w:t>
      </w:r>
      <w:r>
        <w:rPr>
          <w:rFonts w:ascii="Arial" w:hAnsi="Arial" w:cs="Arial"/>
          <w:sz w:val="22"/>
          <w:szCs w:val="22"/>
        </w:rPr>
        <w:br/>
        <w:t>že smlouva nabyla účinnosti.</w:t>
      </w:r>
    </w:p>
    <w:p w:rsidR="00723ACD" w:rsidRDefault="00723ACD" w:rsidP="00723ACD">
      <w:pPr>
        <w:pStyle w:val="vnintext"/>
        <w:ind w:left="426" w:firstLine="0"/>
        <w:rPr>
          <w:rFonts w:ascii="Arial" w:hAnsi="Arial" w:cs="Arial"/>
          <w:sz w:val="20"/>
        </w:rPr>
      </w:pPr>
    </w:p>
    <w:p w:rsidR="00723ACD" w:rsidRDefault="00723ACD" w:rsidP="00723ACD">
      <w:pPr>
        <w:pStyle w:val="Odstavecseseznamem"/>
        <w:numPr>
          <w:ilvl w:val="0"/>
          <w:numId w:val="12"/>
        </w:numPr>
        <w:shd w:val="clear" w:color="auto" w:fill="FFFFFF"/>
        <w:ind w:left="426" w:hanging="426"/>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žádné obchodní tajemství.</w:t>
      </w:r>
    </w:p>
    <w:p w:rsidR="00723ACD" w:rsidRDefault="00723ACD" w:rsidP="00723ACD">
      <w:pPr>
        <w:pStyle w:val="Odstavecseseznamem"/>
        <w:shd w:val="clear" w:color="auto" w:fill="FFFFFF"/>
        <w:ind w:left="426"/>
        <w:jc w:val="both"/>
        <w:outlineLvl w:val="0"/>
        <w:rPr>
          <w:rFonts w:ascii="Arial" w:hAnsi="Arial" w:cs="Arial"/>
          <w:sz w:val="22"/>
          <w:szCs w:val="22"/>
        </w:rPr>
      </w:pPr>
    </w:p>
    <w:p w:rsidR="00723ACD" w:rsidRDefault="00723ACD" w:rsidP="00723ACD">
      <w:pPr>
        <w:pStyle w:val="Odstavecseseznamem"/>
        <w:numPr>
          <w:ilvl w:val="0"/>
          <w:numId w:val="12"/>
        </w:numPr>
        <w:shd w:val="clear" w:color="auto" w:fill="FFFFFF"/>
        <w:ind w:left="426" w:hanging="426"/>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rsidR="00723ACD" w:rsidRDefault="00723ACD" w:rsidP="00723ACD">
      <w:pPr>
        <w:pStyle w:val="Odstavecseseznamem"/>
        <w:shd w:val="clear" w:color="auto" w:fill="FFFFFF"/>
        <w:ind w:left="426"/>
        <w:jc w:val="both"/>
        <w:outlineLvl w:val="0"/>
        <w:rPr>
          <w:rFonts w:ascii="Arial" w:hAnsi="Arial" w:cs="Arial"/>
          <w:sz w:val="22"/>
          <w:szCs w:val="22"/>
        </w:rPr>
      </w:pPr>
    </w:p>
    <w:p w:rsidR="00723ACD" w:rsidRDefault="00723ACD" w:rsidP="00723ACD">
      <w:pPr>
        <w:pStyle w:val="Odstavecseseznamem"/>
        <w:numPr>
          <w:ilvl w:val="0"/>
          <w:numId w:val="12"/>
        </w:numPr>
        <w:shd w:val="clear" w:color="auto" w:fill="FFFFFF"/>
        <w:ind w:left="426" w:hanging="426"/>
        <w:jc w:val="both"/>
        <w:outlineLvl w:val="0"/>
        <w:rPr>
          <w:rFonts w:ascii="Arial" w:hAnsi="Arial" w:cs="Arial"/>
          <w:sz w:val="22"/>
          <w:szCs w:val="22"/>
        </w:rPr>
      </w:pPr>
      <w:r>
        <w:rPr>
          <w:rFonts w:ascii="Arial" w:hAnsi="Arial" w:cs="Arial"/>
          <w:sz w:val="22"/>
          <w:szCs w:val="22"/>
        </w:rPr>
        <w:t xml:space="preserve">Smluvní strany se dohodly, že není-li v této smlouvě stanoveno jinak, řídí se práva </w:t>
      </w:r>
      <w:r>
        <w:rPr>
          <w:rFonts w:ascii="Arial" w:hAnsi="Arial" w:cs="Arial"/>
          <w:sz w:val="22"/>
          <w:szCs w:val="22"/>
        </w:rPr>
        <w:br/>
        <w:t>a povinnosti smluvních stran zákonem č. 89/2012 Sb. a zákonem č. 219/2000 Sb.</w:t>
      </w:r>
    </w:p>
    <w:p w:rsidR="00723ACD" w:rsidRDefault="00723ACD" w:rsidP="00723ACD">
      <w:pPr>
        <w:pStyle w:val="Odstavecseseznamem"/>
        <w:shd w:val="clear" w:color="auto" w:fill="FFFFFF"/>
        <w:ind w:left="426"/>
        <w:jc w:val="both"/>
        <w:outlineLvl w:val="0"/>
        <w:rPr>
          <w:rFonts w:ascii="Arial" w:hAnsi="Arial" w:cs="Arial"/>
          <w:sz w:val="22"/>
          <w:szCs w:val="22"/>
        </w:rPr>
      </w:pPr>
    </w:p>
    <w:p w:rsidR="00723ACD" w:rsidRDefault="00723ACD" w:rsidP="00723ACD">
      <w:pPr>
        <w:pStyle w:val="Odstavecseseznamem"/>
        <w:numPr>
          <w:ilvl w:val="0"/>
          <w:numId w:val="12"/>
        </w:numPr>
        <w:shd w:val="clear" w:color="auto" w:fill="FFFFFF"/>
        <w:ind w:left="426" w:hanging="426"/>
        <w:jc w:val="both"/>
        <w:outlineLvl w:val="0"/>
        <w:rPr>
          <w:rFonts w:ascii="Arial" w:hAnsi="Arial" w:cs="Arial"/>
          <w:sz w:val="22"/>
          <w:szCs w:val="22"/>
        </w:rPr>
      </w:pPr>
      <w:r>
        <w:rPr>
          <w:rFonts w:ascii="Arial" w:hAnsi="Arial" w:cs="Arial"/>
          <w:sz w:val="22"/>
          <w:szCs w:val="22"/>
        </w:rPr>
        <w:t>Smluvní strany se dohodly, že jakékoli změny a doplňky této smlouvy jsou možné pouze písemnou formou, v podobě oboustranně uzavřených, vzestupně číslovaných dodatků smlouvy.</w:t>
      </w:r>
    </w:p>
    <w:p w:rsidR="00723ACD" w:rsidRDefault="00723ACD" w:rsidP="00723ACD">
      <w:pPr>
        <w:pStyle w:val="Odstavecseseznamem"/>
        <w:shd w:val="clear" w:color="auto" w:fill="FFFFFF"/>
        <w:ind w:left="426"/>
        <w:jc w:val="both"/>
        <w:outlineLvl w:val="0"/>
        <w:rPr>
          <w:rFonts w:ascii="Arial" w:hAnsi="Arial" w:cs="Arial"/>
          <w:sz w:val="22"/>
          <w:szCs w:val="22"/>
        </w:rPr>
      </w:pPr>
    </w:p>
    <w:p w:rsidR="00723ACD" w:rsidRDefault="00723ACD" w:rsidP="00723ACD">
      <w:pPr>
        <w:pStyle w:val="para"/>
        <w:numPr>
          <w:ilvl w:val="0"/>
          <w:numId w:val="12"/>
        </w:numPr>
        <w:ind w:left="426" w:hanging="426"/>
        <w:jc w:val="both"/>
        <w:outlineLvl w:val="0"/>
        <w:rPr>
          <w:rFonts w:ascii="Arial" w:hAnsi="Arial" w:cs="Arial"/>
          <w:b w:val="0"/>
          <w:sz w:val="22"/>
          <w:szCs w:val="22"/>
        </w:rPr>
      </w:pPr>
      <w:r>
        <w:rPr>
          <w:rFonts w:ascii="Arial" w:hAnsi="Arial" w:cs="Arial"/>
          <w:b w:val="0"/>
          <w:sz w:val="22"/>
          <w:szCs w:val="22"/>
        </w:rPr>
        <w:t>Tato smlouva je vyhotovena ve třech stejnopisech</w:t>
      </w:r>
      <w:r>
        <w:rPr>
          <w:rFonts w:ascii="Arial" w:hAnsi="Arial" w:cs="Arial"/>
          <w:b w:val="0"/>
          <w:i/>
          <w:sz w:val="22"/>
          <w:szCs w:val="22"/>
        </w:rPr>
        <w:t xml:space="preserve">. </w:t>
      </w:r>
      <w:r>
        <w:rPr>
          <w:rFonts w:ascii="Arial" w:hAnsi="Arial" w:cs="Arial"/>
          <w:b w:val="0"/>
          <w:sz w:val="22"/>
          <w:szCs w:val="22"/>
        </w:rPr>
        <w:t xml:space="preserve">Každá ze smluvních stran obdrží po jednom vyhotovení. </w:t>
      </w:r>
    </w:p>
    <w:p w:rsidR="00723ACD" w:rsidRDefault="00723ACD" w:rsidP="00723ACD">
      <w:pPr>
        <w:pStyle w:val="para"/>
        <w:jc w:val="both"/>
        <w:outlineLvl w:val="0"/>
        <w:rPr>
          <w:rFonts w:ascii="Arial" w:hAnsi="Arial" w:cs="Arial"/>
          <w:b w:val="0"/>
          <w:sz w:val="22"/>
          <w:szCs w:val="22"/>
        </w:rPr>
      </w:pPr>
    </w:p>
    <w:p w:rsidR="00723ACD" w:rsidRDefault="00723ACD" w:rsidP="00723ACD">
      <w:pPr>
        <w:pStyle w:val="Zkladntext"/>
        <w:numPr>
          <w:ilvl w:val="0"/>
          <w:numId w:val="12"/>
        </w:numPr>
        <w:ind w:left="426" w:hanging="426"/>
        <w:rPr>
          <w:rFonts w:ascii="Arial" w:hAnsi="Arial" w:cs="Arial"/>
          <w:b w:val="0"/>
          <w:sz w:val="22"/>
          <w:szCs w:val="22"/>
        </w:rPr>
      </w:pPr>
      <w:r>
        <w:rPr>
          <w:rFonts w:ascii="Arial" w:hAnsi="Arial" w:cs="Arial"/>
          <w:b w:val="0"/>
          <w:sz w:val="22"/>
          <w:szCs w:val="22"/>
        </w:rPr>
        <w:t>Smluvní strany prohlašují, že tuto smlouvu uzavřely svobodně a vážně, nikoliv z přinucení nebo omylu. Na důkaz toho připojují své vlastnoruční podpisy.</w:t>
      </w:r>
    </w:p>
    <w:p w:rsidR="00723ACD" w:rsidRDefault="00723ACD" w:rsidP="00723ACD">
      <w:pPr>
        <w:pStyle w:val="Zkladntext"/>
        <w:rPr>
          <w:rFonts w:ascii="Arial" w:hAnsi="Arial" w:cs="Arial"/>
          <w:sz w:val="22"/>
          <w:szCs w:val="22"/>
        </w:rPr>
      </w:pPr>
    </w:p>
    <w:p w:rsidR="00723ACD" w:rsidRDefault="00723ACD" w:rsidP="00723ACD">
      <w:pPr>
        <w:pStyle w:val="Zkladntext"/>
        <w:rPr>
          <w:rFonts w:ascii="Arial" w:hAnsi="Arial" w:cs="Arial"/>
          <w:sz w:val="22"/>
          <w:szCs w:val="22"/>
        </w:rPr>
      </w:pPr>
    </w:p>
    <w:tbl>
      <w:tblPr>
        <w:tblW w:w="9060" w:type="dxa"/>
        <w:tblLook w:val="04A0" w:firstRow="1" w:lastRow="0" w:firstColumn="1" w:lastColumn="0" w:noHBand="0" w:noVBand="1"/>
      </w:tblPr>
      <w:tblGrid>
        <w:gridCol w:w="9274"/>
        <w:gridCol w:w="222"/>
      </w:tblGrid>
      <w:tr w:rsidR="00723ACD" w:rsidTr="00D658F9">
        <w:trPr>
          <w:trHeight w:val="17"/>
        </w:trPr>
        <w:tc>
          <w:tcPr>
            <w:tcW w:w="4430" w:type="dxa"/>
            <w:hideMark/>
          </w:tcPr>
          <w:tbl>
            <w:tblPr>
              <w:tblW w:w="9294" w:type="dxa"/>
              <w:tblLook w:val="04A0" w:firstRow="1" w:lastRow="0" w:firstColumn="1" w:lastColumn="0" w:noHBand="0" w:noVBand="1"/>
            </w:tblPr>
            <w:tblGrid>
              <w:gridCol w:w="4647"/>
              <w:gridCol w:w="4647"/>
            </w:tblGrid>
            <w:tr w:rsidR="00723ACD" w:rsidTr="00D658F9">
              <w:trPr>
                <w:trHeight w:val="46"/>
              </w:trPr>
              <w:tc>
                <w:tcPr>
                  <w:tcW w:w="4647" w:type="dxa"/>
                  <w:hideMark/>
                </w:tcPr>
                <w:p w:rsidR="00723ACD" w:rsidRDefault="00723ACD" w:rsidP="00D658F9">
                  <w:pPr>
                    <w:tabs>
                      <w:tab w:val="left" w:pos="709"/>
                    </w:tabs>
                    <w:spacing w:line="252" w:lineRule="auto"/>
                    <w:jc w:val="both"/>
                    <w:rPr>
                      <w:rFonts w:ascii="Arial" w:hAnsi="Arial" w:cs="Arial"/>
                      <w:szCs w:val="22"/>
                      <w:lang w:eastAsia="en-US"/>
                    </w:rPr>
                  </w:pPr>
                  <w:r>
                    <w:rPr>
                      <w:rFonts w:ascii="Arial" w:hAnsi="Arial" w:cs="Arial"/>
                      <w:sz w:val="22"/>
                      <w:szCs w:val="22"/>
                      <w:lang w:eastAsia="en-US"/>
                    </w:rPr>
                    <w:t>V Praze dne …………………</w:t>
                  </w:r>
                </w:p>
              </w:tc>
              <w:tc>
                <w:tcPr>
                  <w:tcW w:w="4647" w:type="dxa"/>
                  <w:hideMark/>
                </w:tcPr>
                <w:p w:rsidR="00723ACD" w:rsidRDefault="00723ACD" w:rsidP="00D658F9">
                  <w:pPr>
                    <w:tabs>
                      <w:tab w:val="left" w:pos="709"/>
                    </w:tabs>
                    <w:spacing w:line="252" w:lineRule="auto"/>
                    <w:jc w:val="both"/>
                    <w:rPr>
                      <w:rFonts w:ascii="Arial" w:hAnsi="Arial" w:cs="Arial"/>
                      <w:szCs w:val="22"/>
                      <w:lang w:eastAsia="en-US"/>
                    </w:rPr>
                  </w:pPr>
                  <w:r>
                    <w:rPr>
                      <w:rFonts w:ascii="Arial" w:hAnsi="Arial" w:cs="Arial"/>
                      <w:sz w:val="22"/>
                      <w:szCs w:val="22"/>
                      <w:lang w:eastAsia="en-US"/>
                    </w:rPr>
                    <w:t>V Hradištku dne …………………</w:t>
                  </w:r>
                </w:p>
              </w:tc>
            </w:tr>
            <w:tr w:rsidR="00723ACD" w:rsidTr="00D658F9">
              <w:trPr>
                <w:trHeight w:val="534"/>
              </w:trPr>
              <w:tc>
                <w:tcPr>
                  <w:tcW w:w="4647" w:type="dxa"/>
                </w:tcPr>
                <w:p w:rsidR="00723ACD" w:rsidRDefault="00723ACD" w:rsidP="00D658F9">
                  <w:pPr>
                    <w:tabs>
                      <w:tab w:val="left" w:pos="709"/>
                    </w:tabs>
                    <w:spacing w:line="252" w:lineRule="auto"/>
                    <w:jc w:val="center"/>
                    <w:rPr>
                      <w:rFonts w:ascii="Arial" w:hAnsi="Arial" w:cs="Arial"/>
                      <w:szCs w:val="22"/>
                      <w:lang w:eastAsia="en-US"/>
                    </w:rPr>
                  </w:pPr>
                </w:p>
                <w:p w:rsidR="00723ACD" w:rsidRDefault="00723ACD" w:rsidP="00D658F9">
                  <w:pPr>
                    <w:pStyle w:val="vnintext"/>
                    <w:spacing w:line="252" w:lineRule="auto"/>
                    <w:ind w:firstLine="0"/>
                    <w:jc w:val="center"/>
                    <w:rPr>
                      <w:rFonts w:ascii="Arial" w:hAnsi="Arial" w:cs="Arial"/>
                      <w:b/>
                      <w:sz w:val="22"/>
                      <w:szCs w:val="22"/>
                      <w:lang w:eastAsia="en-US"/>
                    </w:rPr>
                  </w:pPr>
                  <w:r>
                    <w:rPr>
                      <w:rFonts w:ascii="Arial" w:hAnsi="Arial" w:cs="Arial"/>
                      <w:b/>
                      <w:sz w:val="22"/>
                      <w:szCs w:val="22"/>
                      <w:lang w:eastAsia="en-US"/>
                    </w:rPr>
                    <w:t>Česká republika – Úřad pro zastupování státu ve věcech majetkových</w:t>
                  </w:r>
                </w:p>
                <w:p w:rsidR="00723ACD" w:rsidRDefault="00723ACD" w:rsidP="00D658F9">
                  <w:pPr>
                    <w:pStyle w:val="vnintext"/>
                    <w:spacing w:line="252" w:lineRule="auto"/>
                    <w:ind w:firstLine="0"/>
                    <w:jc w:val="center"/>
                    <w:rPr>
                      <w:rFonts w:ascii="Arial" w:hAnsi="Arial" w:cs="Arial"/>
                      <w:szCs w:val="22"/>
                      <w:lang w:eastAsia="en-US"/>
                    </w:rPr>
                  </w:pPr>
                </w:p>
                <w:p w:rsidR="00723ACD" w:rsidRDefault="00723ACD" w:rsidP="00D658F9">
                  <w:pPr>
                    <w:pStyle w:val="vnintext"/>
                    <w:spacing w:line="252" w:lineRule="auto"/>
                    <w:ind w:firstLine="0"/>
                    <w:rPr>
                      <w:rFonts w:ascii="Arial" w:hAnsi="Arial" w:cs="Arial"/>
                      <w:szCs w:val="22"/>
                      <w:lang w:eastAsia="en-US"/>
                    </w:rPr>
                  </w:pPr>
                </w:p>
                <w:p w:rsidR="00723ACD" w:rsidRDefault="00723ACD" w:rsidP="00D658F9">
                  <w:pPr>
                    <w:tabs>
                      <w:tab w:val="left" w:pos="709"/>
                    </w:tabs>
                    <w:spacing w:line="252" w:lineRule="auto"/>
                    <w:rPr>
                      <w:rFonts w:ascii="Arial" w:hAnsi="Arial" w:cs="Arial"/>
                      <w:szCs w:val="22"/>
                      <w:lang w:eastAsia="en-US"/>
                    </w:rPr>
                  </w:pPr>
                </w:p>
              </w:tc>
              <w:tc>
                <w:tcPr>
                  <w:tcW w:w="4647" w:type="dxa"/>
                </w:tcPr>
                <w:p w:rsidR="00723ACD" w:rsidRDefault="00723ACD" w:rsidP="00D658F9">
                  <w:pPr>
                    <w:tabs>
                      <w:tab w:val="left" w:pos="709"/>
                    </w:tabs>
                    <w:spacing w:line="252" w:lineRule="auto"/>
                    <w:jc w:val="both"/>
                    <w:rPr>
                      <w:rFonts w:ascii="Arial" w:hAnsi="Arial" w:cs="Arial"/>
                      <w:szCs w:val="22"/>
                      <w:lang w:eastAsia="en-US"/>
                    </w:rPr>
                  </w:pPr>
                </w:p>
                <w:p w:rsidR="00723ACD" w:rsidRDefault="00723ACD" w:rsidP="00D658F9">
                  <w:pPr>
                    <w:tabs>
                      <w:tab w:val="left" w:pos="709"/>
                    </w:tabs>
                    <w:spacing w:line="252" w:lineRule="auto"/>
                    <w:jc w:val="both"/>
                    <w:rPr>
                      <w:rFonts w:ascii="Arial" w:hAnsi="Arial" w:cs="Arial"/>
                      <w:szCs w:val="22"/>
                      <w:lang w:eastAsia="en-US"/>
                    </w:rPr>
                  </w:pPr>
                </w:p>
              </w:tc>
            </w:tr>
            <w:tr w:rsidR="00723ACD" w:rsidTr="00D658F9">
              <w:trPr>
                <w:trHeight w:val="35"/>
              </w:trPr>
              <w:tc>
                <w:tcPr>
                  <w:tcW w:w="4647" w:type="dxa"/>
                  <w:hideMark/>
                </w:tcPr>
                <w:p w:rsidR="00723ACD" w:rsidRDefault="00723ACD" w:rsidP="00D658F9">
                  <w:pPr>
                    <w:tabs>
                      <w:tab w:val="left" w:pos="709"/>
                    </w:tabs>
                    <w:spacing w:line="252" w:lineRule="auto"/>
                    <w:jc w:val="both"/>
                    <w:rPr>
                      <w:rFonts w:ascii="Arial" w:hAnsi="Arial" w:cs="Arial"/>
                      <w:szCs w:val="22"/>
                      <w:lang w:eastAsia="en-US"/>
                    </w:rPr>
                  </w:pPr>
                  <w:r>
                    <w:rPr>
                      <w:rFonts w:ascii="Arial" w:hAnsi="Arial" w:cs="Arial"/>
                      <w:sz w:val="22"/>
                      <w:szCs w:val="22"/>
                      <w:lang w:eastAsia="en-US"/>
                    </w:rPr>
                    <w:t>…………………………….……………….</w:t>
                  </w:r>
                </w:p>
              </w:tc>
              <w:tc>
                <w:tcPr>
                  <w:tcW w:w="4647" w:type="dxa"/>
                  <w:hideMark/>
                </w:tcPr>
                <w:p w:rsidR="00723ACD" w:rsidRDefault="00723ACD" w:rsidP="00D658F9">
                  <w:pPr>
                    <w:tabs>
                      <w:tab w:val="left" w:pos="709"/>
                    </w:tabs>
                    <w:spacing w:line="252" w:lineRule="auto"/>
                    <w:jc w:val="both"/>
                    <w:rPr>
                      <w:rFonts w:ascii="Arial" w:hAnsi="Arial" w:cs="Arial"/>
                      <w:szCs w:val="22"/>
                      <w:lang w:eastAsia="en-US"/>
                    </w:rPr>
                  </w:pPr>
                  <w:r>
                    <w:rPr>
                      <w:rFonts w:ascii="Arial" w:hAnsi="Arial" w:cs="Arial"/>
                      <w:sz w:val="22"/>
                      <w:szCs w:val="22"/>
                      <w:lang w:eastAsia="en-US"/>
                    </w:rPr>
                    <w:t>…………………………….……………………</w:t>
                  </w:r>
                </w:p>
              </w:tc>
            </w:tr>
            <w:tr w:rsidR="00723ACD" w:rsidTr="00D658F9">
              <w:trPr>
                <w:trHeight w:val="327"/>
              </w:trPr>
              <w:tc>
                <w:tcPr>
                  <w:tcW w:w="4647" w:type="dxa"/>
                  <w:hideMark/>
                </w:tcPr>
                <w:p w:rsidR="00723ACD" w:rsidRDefault="00723ACD" w:rsidP="00D658F9">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RNDr. Miroslav Šimon</w:t>
                  </w:r>
                  <w:r>
                    <w:rPr>
                      <w:rFonts w:ascii="Arial" w:hAnsi="Arial" w:cs="Arial"/>
                      <w:sz w:val="22"/>
                      <w:szCs w:val="22"/>
                      <w:lang w:eastAsia="en-US"/>
                    </w:rPr>
                    <w:br/>
                    <w:t>ředitel odboru</w:t>
                  </w:r>
                  <w:r>
                    <w:rPr>
                      <w:rFonts w:ascii="Arial" w:hAnsi="Arial" w:cs="Arial"/>
                      <w:sz w:val="22"/>
                      <w:szCs w:val="22"/>
                      <w:lang w:eastAsia="en-US"/>
                    </w:rPr>
                    <w:br/>
                    <w:t xml:space="preserve"> Hospodaření s majetkem státu</w:t>
                  </w:r>
                </w:p>
                <w:p w:rsidR="00723ACD" w:rsidRDefault="00723ACD" w:rsidP="00D658F9">
                  <w:pPr>
                    <w:tabs>
                      <w:tab w:val="left" w:pos="709"/>
                    </w:tabs>
                    <w:spacing w:line="252" w:lineRule="auto"/>
                    <w:jc w:val="center"/>
                    <w:rPr>
                      <w:rFonts w:ascii="Arial" w:hAnsi="Arial" w:cs="Arial"/>
                      <w:b/>
                      <w:szCs w:val="22"/>
                      <w:lang w:eastAsia="en-US"/>
                    </w:rPr>
                  </w:pPr>
                  <w:r>
                    <w:rPr>
                      <w:rFonts w:ascii="Arial" w:hAnsi="Arial" w:cs="Arial"/>
                      <w:sz w:val="22"/>
                      <w:szCs w:val="22"/>
                      <w:lang w:eastAsia="en-US"/>
                    </w:rPr>
                    <w:t>Územního pracoviště Střední Čechy</w:t>
                  </w:r>
                </w:p>
              </w:tc>
              <w:tc>
                <w:tcPr>
                  <w:tcW w:w="4647" w:type="dxa"/>
                  <w:hideMark/>
                </w:tcPr>
                <w:p w:rsidR="00723ACD" w:rsidRDefault="00723ACD" w:rsidP="00D658F9">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XXXXXXXX</w:t>
                  </w:r>
                </w:p>
              </w:tc>
            </w:tr>
          </w:tbl>
          <w:p w:rsidR="00723ACD" w:rsidRDefault="00723ACD" w:rsidP="00D658F9">
            <w:pPr>
              <w:spacing w:after="160" w:line="256" w:lineRule="auto"/>
              <w:rPr>
                <w:rFonts w:asciiTheme="minorHAnsi" w:eastAsiaTheme="minorHAnsi" w:hAnsiTheme="minorHAnsi"/>
                <w:sz w:val="22"/>
                <w:szCs w:val="22"/>
                <w:lang w:eastAsia="en-US"/>
              </w:rPr>
            </w:pPr>
          </w:p>
        </w:tc>
        <w:tc>
          <w:tcPr>
            <w:tcW w:w="4630" w:type="dxa"/>
          </w:tcPr>
          <w:p w:rsidR="00723ACD" w:rsidRDefault="00723ACD" w:rsidP="00D658F9">
            <w:pPr>
              <w:pStyle w:val="vnintext"/>
              <w:spacing w:line="252" w:lineRule="auto"/>
              <w:ind w:firstLine="0"/>
              <w:rPr>
                <w:rFonts w:ascii="Arial" w:hAnsi="Arial" w:cs="Arial"/>
                <w:szCs w:val="22"/>
                <w:lang w:eastAsia="en-US"/>
              </w:rPr>
            </w:pPr>
          </w:p>
        </w:tc>
      </w:tr>
      <w:tr w:rsidR="00723ACD" w:rsidTr="00D658F9">
        <w:trPr>
          <w:trHeight w:val="196"/>
        </w:trPr>
        <w:tc>
          <w:tcPr>
            <w:tcW w:w="4430" w:type="dxa"/>
          </w:tcPr>
          <w:p w:rsidR="00723ACD" w:rsidRDefault="00723ACD" w:rsidP="00D658F9">
            <w:pPr>
              <w:pStyle w:val="vnintext"/>
              <w:spacing w:line="252" w:lineRule="auto"/>
              <w:ind w:firstLine="0"/>
              <w:jc w:val="center"/>
              <w:rPr>
                <w:rFonts w:ascii="Arial" w:hAnsi="Arial" w:cs="Arial"/>
                <w:szCs w:val="22"/>
                <w:lang w:eastAsia="en-US"/>
              </w:rPr>
            </w:pPr>
          </w:p>
        </w:tc>
        <w:tc>
          <w:tcPr>
            <w:tcW w:w="4630" w:type="dxa"/>
          </w:tcPr>
          <w:p w:rsidR="00723ACD" w:rsidRDefault="00723ACD" w:rsidP="00D658F9">
            <w:pPr>
              <w:pStyle w:val="vnintext"/>
              <w:spacing w:line="252" w:lineRule="auto"/>
              <w:ind w:firstLine="0"/>
              <w:jc w:val="center"/>
              <w:rPr>
                <w:rFonts w:ascii="Arial" w:hAnsi="Arial" w:cs="Arial"/>
                <w:szCs w:val="22"/>
                <w:lang w:eastAsia="en-US"/>
              </w:rPr>
            </w:pPr>
          </w:p>
        </w:tc>
      </w:tr>
      <w:tr w:rsidR="00723ACD" w:rsidTr="00D658F9">
        <w:trPr>
          <w:trHeight w:val="120"/>
        </w:trPr>
        <w:tc>
          <w:tcPr>
            <w:tcW w:w="4430" w:type="dxa"/>
          </w:tcPr>
          <w:p w:rsidR="00723ACD" w:rsidRDefault="00723ACD" w:rsidP="00D658F9">
            <w:pPr>
              <w:pStyle w:val="vnintext"/>
              <w:spacing w:line="252" w:lineRule="auto"/>
              <w:ind w:firstLine="0"/>
              <w:jc w:val="center"/>
              <w:rPr>
                <w:rFonts w:ascii="Arial" w:hAnsi="Arial" w:cs="Arial"/>
                <w:b/>
                <w:sz w:val="20"/>
                <w:lang w:eastAsia="en-US"/>
              </w:rPr>
            </w:pPr>
          </w:p>
        </w:tc>
        <w:tc>
          <w:tcPr>
            <w:tcW w:w="4630" w:type="dxa"/>
          </w:tcPr>
          <w:p w:rsidR="00723ACD" w:rsidRDefault="00723ACD" w:rsidP="00D658F9">
            <w:pPr>
              <w:pStyle w:val="vnintext"/>
              <w:spacing w:line="252" w:lineRule="auto"/>
              <w:ind w:firstLine="0"/>
              <w:jc w:val="center"/>
              <w:rPr>
                <w:rFonts w:ascii="Arial" w:hAnsi="Arial" w:cs="Arial"/>
                <w:b/>
                <w:szCs w:val="22"/>
                <w:lang w:eastAsia="en-US"/>
              </w:rPr>
            </w:pPr>
          </w:p>
        </w:tc>
      </w:tr>
    </w:tbl>
    <w:p w:rsidR="00723ACD" w:rsidRDefault="00723ACD" w:rsidP="00723ACD">
      <w:pPr>
        <w:pStyle w:val="vnintext"/>
        <w:ind w:firstLine="0"/>
        <w:rPr>
          <w:rFonts w:ascii="Arial" w:hAnsi="Arial" w:cs="Arial"/>
          <w:sz w:val="22"/>
          <w:szCs w:val="22"/>
        </w:rPr>
      </w:pPr>
    </w:p>
    <w:tbl>
      <w:tblPr>
        <w:tblW w:w="5490" w:type="dxa"/>
        <w:tblInd w:w="4020" w:type="dxa"/>
        <w:tblLook w:val="04A0" w:firstRow="1" w:lastRow="0" w:firstColumn="1" w:lastColumn="0" w:noHBand="0" w:noVBand="1"/>
      </w:tblPr>
      <w:tblGrid>
        <w:gridCol w:w="5490"/>
      </w:tblGrid>
      <w:tr w:rsidR="00723ACD" w:rsidTr="00D658F9">
        <w:trPr>
          <w:trHeight w:val="66"/>
        </w:trPr>
        <w:tc>
          <w:tcPr>
            <w:tcW w:w="5490" w:type="dxa"/>
            <w:hideMark/>
          </w:tcPr>
          <w:p w:rsidR="00723ACD" w:rsidRDefault="00723ACD" w:rsidP="00D658F9">
            <w:pPr>
              <w:pStyle w:val="vnintext"/>
              <w:spacing w:line="252" w:lineRule="auto"/>
              <w:rPr>
                <w:rFonts w:ascii="Arial" w:hAnsi="Arial" w:cs="Arial"/>
                <w:sz w:val="22"/>
                <w:szCs w:val="22"/>
                <w:lang w:eastAsia="en-US"/>
              </w:rPr>
            </w:pPr>
            <w:r>
              <w:rPr>
                <w:rFonts w:ascii="Arial" w:hAnsi="Arial" w:cs="Arial"/>
                <w:sz w:val="22"/>
                <w:szCs w:val="22"/>
                <w:lang w:eastAsia="en-US"/>
              </w:rPr>
              <w:t xml:space="preserve">     V Hradištku dne …………………</w:t>
            </w:r>
          </w:p>
        </w:tc>
      </w:tr>
      <w:tr w:rsidR="00723ACD" w:rsidTr="00D658F9">
        <w:trPr>
          <w:trHeight w:val="764"/>
        </w:trPr>
        <w:tc>
          <w:tcPr>
            <w:tcW w:w="5490" w:type="dxa"/>
          </w:tcPr>
          <w:p w:rsidR="00723ACD" w:rsidRDefault="00723ACD" w:rsidP="00D658F9">
            <w:pPr>
              <w:pStyle w:val="vnintext"/>
              <w:spacing w:line="252" w:lineRule="auto"/>
              <w:ind w:firstLine="0"/>
              <w:rPr>
                <w:rFonts w:ascii="Arial" w:hAnsi="Arial" w:cs="Arial"/>
                <w:sz w:val="22"/>
                <w:szCs w:val="22"/>
                <w:lang w:eastAsia="en-US"/>
              </w:rPr>
            </w:pPr>
          </w:p>
          <w:p w:rsidR="00723ACD" w:rsidRDefault="00723ACD" w:rsidP="00D658F9">
            <w:pPr>
              <w:pStyle w:val="vnintext"/>
              <w:spacing w:line="252" w:lineRule="auto"/>
              <w:rPr>
                <w:rFonts w:ascii="Arial" w:hAnsi="Arial" w:cs="Arial"/>
                <w:sz w:val="22"/>
                <w:szCs w:val="22"/>
                <w:lang w:eastAsia="en-US"/>
              </w:rPr>
            </w:pPr>
          </w:p>
          <w:p w:rsidR="00723ACD" w:rsidRDefault="00723ACD" w:rsidP="00D658F9">
            <w:pPr>
              <w:pStyle w:val="vnintext"/>
              <w:spacing w:line="252" w:lineRule="auto"/>
              <w:rPr>
                <w:rFonts w:ascii="Arial" w:hAnsi="Arial" w:cs="Arial"/>
                <w:sz w:val="22"/>
                <w:szCs w:val="22"/>
                <w:lang w:eastAsia="en-US"/>
              </w:rPr>
            </w:pPr>
          </w:p>
          <w:p w:rsidR="00723ACD" w:rsidRDefault="00723ACD" w:rsidP="00D658F9">
            <w:pPr>
              <w:pStyle w:val="vnintext"/>
              <w:spacing w:line="252" w:lineRule="auto"/>
              <w:ind w:firstLine="0"/>
              <w:rPr>
                <w:rFonts w:ascii="Arial" w:hAnsi="Arial" w:cs="Arial"/>
                <w:sz w:val="22"/>
                <w:szCs w:val="22"/>
                <w:lang w:eastAsia="en-US"/>
              </w:rPr>
            </w:pPr>
          </w:p>
        </w:tc>
      </w:tr>
      <w:tr w:rsidR="00723ACD" w:rsidTr="00D658F9">
        <w:trPr>
          <w:trHeight w:val="50"/>
        </w:trPr>
        <w:tc>
          <w:tcPr>
            <w:tcW w:w="5490" w:type="dxa"/>
            <w:hideMark/>
          </w:tcPr>
          <w:p w:rsidR="00723ACD" w:rsidRDefault="00723ACD" w:rsidP="00D658F9">
            <w:pPr>
              <w:pStyle w:val="vnintext"/>
              <w:spacing w:line="252" w:lineRule="auto"/>
              <w:rPr>
                <w:rFonts w:ascii="Arial" w:hAnsi="Arial" w:cs="Arial"/>
                <w:sz w:val="22"/>
                <w:szCs w:val="22"/>
                <w:lang w:eastAsia="en-US"/>
              </w:rPr>
            </w:pPr>
            <w:r>
              <w:rPr>
                <w:rFonts w:ascii="Arial" w:hAnsi="Arial" w:cs="Arial"/>
                <w:sz w:val="22"/>
                <w:szCs w:val="22"/>
                <w:lang w:eastAsia="en-US"/>
              </w:rPr>
              <w:t>…………………………….……………………</w:t>
            </w:r>
          </w:p>
        </w:tc>
      </w:tr>
      <w:tr w:rsidR="00723ACD" w:rsidTr="00D658F9">
        <w:trPr>
          <w:trHeight w:val="468"/>
        </w:trPr>
        <w:tc>
          <w:tcPr>
            <w:tcW w:w="5490" w:type="dxa"/>
            <w:hideMark/>
          </w:tcPr>
          <w:p w:rsidR="00723ACD" w:rsidRDefault="00723ACD" w:rsidP="00D658F9">
            <w:pPr>
              <w:pStyle w:val="vnintext"/>
              <w:spacing w:line="252" w:lineRule="auto"/>
              <w:jc w:val="center"/>
              <w:rPr>
                <w:rFonts w:ascii="Arial" w:hAnsi="Arial" w:cs="Arial"/>
                <w:sz w:val="22"/>
                <w:szCs w:val="22"/>
                <w:lang w:eastAsia="en-US"/>
              </w:rPr>
            </w:pPr>
            <w:r>
              <w:rPr>
                <w:rFonts w:ascii="Arial" w:hAnsi="Arial" w:cs="Arial"/>
                <w:sz w:val="22"/>
                <w:szCs w:val="22"/>
                <w:lang w:eastAsia="en-US"/>
              </w:rPr>
              <w:t>XXXXXXXX</w:t>
            </w:r>
          </w:p>
        </w:tc>
      </w:tr>
    </w:tbl>
    <w:p w:rsidR="00723ACD" w:rsidRDefault="00723ACD" w:rsidP="00723ACD"/>
    <w:p w:rsidR="00105915" w:rsidRDefault="00105915"/>
    <w:sectPr w:rsidR="00105915"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AFF"/>
    <w:multiLevelType w:val="hybridMultilevel"/>
    <w:tmpl w:val="68526A58"/>
    <w:lvl w:ilvl="0" w:tplc="F86E263C">
      <w:start w:val="1"/>
      <w:numFmt w:val="decimal"/>
      <w:lvlText w:val="%1."/>
      <w:lvlJc w:val="left"/>
      <w:pPr>
        <w:tabs>
          <w:tab w:val="num" w:pos="360"/>
        </w:tabs>
        <w:ind w:left="360" w:hanging="360"/>
      </w:pPr>
      <w:rPr>
        <w:rFonts w:cs="Times New Roman"/>
      </w:rPr>
    </w:lvl>
    <w:lvl w:ilvl="1" w:tplc="4F62F4F4">
      <w:start w:val="1"/>
      <w:numFmt w:val="lowerLetter"/>
      <w:lvlText w:val="%2."/>
      <w:lvlJc w:val="left"/>
      <w:pPr>
        <w:tabs>
          <w:tab w:val="num" w:pos="1080"/>
        </w:tabs>
        <w:ind w:left="1080" w:hanging="360"/>
      </w:pPr>
      <w:rPr>
        <w:rFonts w:cs="Times New Roman"/>
      </w:rPr>
    </w:lvl>
    <w:lvl w:ilvl="2" w:tplc="E6B67556">
      <w:start w:val="1"/>
      <w:numFmt w:val="lowerRoman"/>
      <w:lvlText w:val="%3."/>
      <w:lvlJc w:val="right"/>
      <w:pPr>
        <w:tabs>
          <w:tab w:val="num" w:pos="1800"/>
        </w:tabs>
        <w:ind w:left="1800" w:hanging="180"/>
      </w:pPr>
      <w:rPr>
        <w:rFonts w:cs="Times New Roman"/>
      </w:rPr>
    </w:lvl>
    <w:lvl w:ilvl="3" w:tplc="02A861C6">
      <w:start w:val="1"/>
      <w:numFmt w:val="decimal"/>
      <w:lvlText w:val="%4."/>
      <w:lvlJc w:val="left"/>
      <w:pPr>
        <w:tabs>
          <w:tab w:val="num" w:pos="2520"/>
        </w:tabs>
        <w:ind w:left="2520" w:hanging="360"/>
      </w:pPr>
      <w:rPr>
        <w:rFonts w:cs="Times New Roman"/>
      </w:rPr>
    </w:lvl>
    <w:lvl w:ilvl="4" w:tplc="5EA65FD6">
      <w:start w:val="1"/>
      <w:numFmt w:val="lowerLetter"/>
      <w:lvlText w:val="%5."/>
      <w:lvlJc w:val="left"/>
      <w:pPr>
        <w:tabs>
          <w:tab w:val="num" w:pos="3240"/>
        </w:tabs>
        <w:ind w:left="3240" w:hanging="360"/>
      </w:pPr>
      <w:rPr>
        <w:rFonts w:cs="Times New Roman"/>
      </w:rPr>
    </w:lvl>
    <w:lvl w:ilvl="5" w:tplc="1DC43506">
      <w:start w:val="1"/>
      <w:numFmt w:val="lowerRoman"/>
      <w:lvlText w:val="%6."/>
      <w:lvlJc w:val="right"/>
      <w:pPr>
        <w:tabs>
          <w:tab w:val="num" w:pos="3960"/>
        </w:tabs>
        <w:ind w:left="3960" w:hanging="180"/>
      </w:pPr>
      <w:rPr>
        <w:rFonts w:cs="Times New Roman"/>
      </w:rPr>
    </w:lvl>
    <w:lvl w:ilvl="6" w:tplc="B9547764">
      <w:start w:val="1"/>
      <w:numFmt w:val="decimal"/>
      <w:lvlText w:val="%7."/>
      <w:lvlJc w:val="left"/>
      <w:pPr>
        <w:tabs>
          <w:tab w:val="num" w:pos="4680"/>
        </w:tabs>
        <w:ind w:left="4680" w:hanging="360"/>
      </w:pPr>
      <w:rPr>
        <w:rFonts w:cs="Times New Roman"/>
      </w:rPr>
    </w:lvl>
    <w:lvl w:ilvl="7" w:tplc="D4ECFED4">
      <w:start w:val="1"/>
      <w:numFmt w:val="lowerLetter"/>
      <w:lvlText w:val="%8."/>
      <w:lvlJc w:val="left"/>
      <w:pPr>
        <w:tabs>
          <w:tab w:val="num" w:pos="5400"/>
        </w:tabs>
        <w:ind w:left="5400" w:hanging="360"/>
      </w:pPr>
      <w:rPr>
        <w:rFonts w:cs="Times New Roman"/>
      </w:rPr>
    </w:lvl>
    <w:lvl w:ilvl="8" w:tplc="D3B697BC">
      <w:start w:val="1"/>
      <w:numFmt w:val="lowerRoman"/>
      <w:lvlText w:val="%9."/>
      <w:lvlJc w:val="right"/>
      <w:pPr>
        <w:tabs>
          <w:tab w:val="num" w:pos="6120"/>
        </w:tabs>
        <w:ind w:left="6120" w:hanging="180"/>
      </w:pPr>
      <w:rPr>
        <w:rFonts w:cs="Times New Roman"/>
      </w:rPr>
    </w:lvl>
  </w:abstractNum>
  <w:abstractNum w:abstractNumId="1" w15:restartNumberingAfterBreak="0">
    <w:nsid w:val="18AC3F15"/>
    <w:multiLevelType w:val="hybridMultilevel"/>
    <w:tmpl w:val="7B0C1F66"/>
    <w:lvl w:ilvl="0" w:tplc="3BE659D8">
      <w:start w:val="1"/>
      <w:numFmt w:val="bullet"/>
      <w:lvlText w:val=""/>
      <w:lvlJc w:val="left"/>
      <w:pPr>
        <w:ind w:left="1069" w:hanging="360"/>
      </w:pPr>
      <w:rPr>
        <w:rFonts w:ascii="Symbol" w:hAnsi="Symbol" w:hint="default"/>
      </w:rPr>
    </w:lvl>
    <w:lvl w:ilvl="1" w:tplc="50CAEEDE">
      <w:start w:val="1"/>
      <w:numFmt w:val="bullet"/>
      <w:lvlText w:val="o"/>
      <w:lvlJc w:val="left"/>
      <w:pPr>
        <w:ind w:left="1789" w:hanging="360"/>
      </w:pPr>
      <w:rPr>
        <w:rFonts w:ascii="Courier New" w:hAnsi="Courier New" w:cs="Courier New" w:hint="default"/>
      </w:rPr>
    </w:lvl>
    <w:lvl w:ilvl="2" w:tplc="4920D28C">
      <w:start w:val="1"/>
      <w:numFmt w:val="bullet"/>
      <w:lvlText w:val=""/>
      <w:lvlJc w:val="left"/>
      <w:pPr>
        <w:ind w:left="2509" w:hanging="360"/>
      </w:pPr>
      <w:rPr>
        <w:rFonts w:ascii="Wingdings" w:hAnsi="Wingdings" w:hint="default"/>
      </w:rPr>
    </w:lvl>
    <w:lvl w:ilvl="3" w:tplc="BA1C3FE8">
      <w:start w:val="1"/>
      <w:numFmt w:val="bullet"/>
      <w:lvlText w:val=""/>
      <w:lvlJc w:val="left"/>
      <w:pPr>
        <w:ind w:left="3229" w:hanging="360"/>
      </w:pPr>
      <w:rPr>
        <w:rFonts w:ascii="Symbol" w:hAnsi="Symbol" w:hint="default"/>
      </w:rPr>
    </w:lvl>
    <w:lvl w:ilvl="4" w:tplc="265CEE1E">
      <w:start w:val="1"/>
      <w:numFmt w:val="bullet"/>
      <w:lvlText w:val="o"/>
      <w:lvlJc w:val="left"/>
      <w:pPr>
        <w:ind w:left="3949" w:hanging="360"/>
      </w:pPr>
      <w:rPr>
        <w:rFonts w:ascii="Courier New" w:hAnsi="Courier New" w:cs="Courier New" w:hint="default"/>
      </w:rPr>
    </w:lvl>
    <w:lvl w:ilvl="5" w:tplc="898AD9D8">
      <w:start w:val="1"/>
      <w:numFmt w:val="bullet"/>
      <w:lvlText w:val=""/>
      <w:lvlJc w:val="left"/>
      <w:pPr>
        <w:ind w:left="4669" w:hanging="360"/>
      </w:pPr>
      <w:rPr>
        <w:rFonts w:ascii="Wingdings" w:hAnsi="Wingdings" w:hint="default"/>
      </w:rPr>
    </w:lvl>
    <w:lvl w:ilvl="6" w:tplc="ACBC4E54">
      <w:start w:val="1"/>
      <w:numFmt w:val="bullet"/>
      <w:lvlText w:val=""/>
      <w:lvlJc w:val="left"/>
      <w:pPr>
        <w:ind w:left="5389" w:hanging="360"/>
      </w:pPr>
      <w:rPr>
        <w:rFonts w:ascii="Symbol" w:hAnsi="Symbol" w:hint="default"/>
      </w:rPr>
    </w:lvl>
    <w:lvl w:ilvl="7" w:tplc="62F6ED2C">
      <w:start w:val="1"/>
      <w:numFmt w:val="bullet"/>
      <w:lvlText w:val="o"/>
      <w:lvlJc w:val="left"/>
      <w:pPr>
        <w:ind w:left="6109" w:hanging="360"/>
      </w:pPr>
      <w:rPr>
        <w:rFonts w:ascii="Courier New" w:hAnsi="Courier New" w:cs="Courier New" w:hint="default"/>
      </w:rPr>
    </w:lvl>
    <w:lvl w:ilvl="8" w:tplc="5AB8C756">
      <w:start w:val="1"/>
      <w:numFmt w:val="bullet"/>
      <w:lvlText w:val=""/>
      <w:lvlJc w:val="left"/>
      <w:pPr>
        <w:ind w:left="6829" w:hanging="360"/>
      </w:pPr>
      <w:rPr>
        <w:rFonts w:ascii="Wingdings" w:hAnsi="Wingdings" w:hint="default"/>
      </w:rPr>
    </w:lvl>
  </w:abstractNum>
  <w:abstractNum w:abstractNumId="2" w15:restartNumberingAfterBreak="0">
    <w:nsid w:val="2C171F9A"/>
    <w:multiLevelType w:val="hybridMultilevel"/>
    <w:tmpl w:val="FFB44642"/>
    <w:lvl w:ilvl="0" w:tplc="30D266E0">
      <w:start w:val="1"/>
      <w:numFmt w:val="bullet"/>
      <w:lvlText w:val=""/>
      <w:lvlJc w:val="left"/>
      <w:pPr>
        <w:ind w:left="928" w:hanging="360"/>
      </w:pPr>
      <w:rPr>
        <w:rFonts w:ascii="Symbol" w:hAnsi="Symbol" w:hint="default"/>
      </w:rPr>
    </w:lvl>
    <w:lvl w:ilvl="1" w:tplc="0010DEAC">
      <w:start w:val="1"/>
      <w:numFmt w:val="bullet"/>
      <w:lvlText w:val="o"/>
      <w:lvlJc w:val="left"/>
      <w:pPr>
        <w:ind w:left="1866" w:hanging="360"/>
      </w:pPr>
      <w:rPr>
        <w:rFonts w:ascii="Courier New" w:hAnsi="Courier New" w:cs="Courier New" w:hint="default"/>
      </w:rPr>
    </w:lvl>
    <w:lvl w:ilvl="2" w:tplc="090C684A">
      <w:start w:val="1"/>
      <w:numFmt w:val="bullet"/>
      <w:lvlText w:val=""/>
      <w:lvlJc w:val="left"/>
      <w:pPr>
        <w:ind w:left="2586" w:hanging="360"/>
      </w:pPr>
      <w:rPr>
        <w:rFonts w:ascii="Wingdings" w:hAnsi="Wingdings" w:hint="default"/>
      </w:rPr>
    </w:lvl>
    <w:lvl w:ilvl="3" w:tplc="581477DE">
      <w:start w:val="1"/>
      <w:numFmt w:val="bullet"/>
      <w:lvlText w:val=""/>
      <w:lvlJc w:val="left"/>
      <w:pPr>
        <w:ind w:left="3306" w:hanging="360"/>
      </w:pPr>
      <w:rPr>
        <w:rFonts w:ascii="Symbol" w:hAnsi="Symbol" w:hint="default"/>
      </w:rPr>
    </w:lvl>
    <w:lvl w:ilvl="4" w:tplc="12E41ECE">
      <w:start w:val="1"/>
      <w:numFmt w:val="bullet"/>
      <w:lvlText w:val="o"/>
      <w:lvlJc w:val="left"/>
      <w:pPr>
        <w:ind w:left="4026" w:hanging="360"/>
      </w:pPr>
      <w:rPr>
        <w:rFonts w:ascii="Courier New" w:hAnsi="Courier New" w:cs="Courier New" w:hint="default"/>
      </w:rPr>
    </w:lvl>
    <w:lvl w:ilvl="5" w:tplc="48020C46">
      <w:start w:val="1"/>
      <w:numFmt w:val="bullet"/>
      <w:lvlText w:val=""/>
      <w:lvlJc w:val="left"/>
      <w:pPr>
        <w:ind w:left="4746" w:hanging="360"/>
      </w:pPr>
      <w:rPr>
        <w:rFonts w:ascii="Wingdings" w:hAnsi="Wingdings" w:hint="default"/>
      </w:rPr>
    </w:lvl>
    <w:lvl w:ilvl="6" w:tplc="175A4ECC">
      <w:start w:val="1"/>
      <w:numFmt w:val="bullet"/>
      <w:lvlText w:val=""/>
      <w:lvlJc w:val="left"/>
      <w:pPr>
        <w:ind w:left="5466" w:hanging="360"/>
      </w:pPr>
      <w:rPr>
        <w:rFonts w:ascii="Symbol" w:hAnsi="Symbol" w:hint="default"/>
      </w:rPr>
    </w:lvl>
    <w:lvl w:ilvl="7" w:tplc="5BEA7826">
      <w:start w:val="1"/>
      <w:numFmt w:val="bullet"/>
      <w:lvlText w:val="o"/>
      <w:lvlJc w:val="left"/>
      <w:pPr>
        <w:ind w:left="6186" w:hanging="360"/>
      </w:pPr>
      <w:rPr>
        <w:rFonts w:ascii="Courier New" w:hAnsi="Courier New" w:cs="Courier New" w:hint="default"/>
      </w:rPr>
    </w:lvl>
    <w:lvl w:ilvl="8" w:tplc="D14E1630">
      <w:start w:val="1"/>
      <w:numFmt w:val="bullet"/>
      <w:lvlText w:val=""/>
      <w:lvlJc w:val="left"/>
      <w:pPr>
        <w:ind w:left="6906" w:hanging="360"/>
      </w:pPr>
      <w:rPr>
        <w:rFonts w:ascii="Wingdings" w:hAnsi="Wingdings" w:hint="default"/>
      </w:rPr>
    </w:lvl>
  </w:abstractNum>
  <w:abstractNum w:abstractNumId="3" w15:restartNumberingAfterBreak="0">
    <w:nsid w:val="3184400F"/>
    <w:multiLevelType w:val="hybridMultilevel"/>
    <w:tmpl w:val="25987D50"/>
    <w:lvl w:ilvl="0" w:tplc="8960C8FC">
      <w:start w:val="1"/>
      <w:numFmt w:val="decimal"/>
      <w:lvlText w:val="%1."/>
      <w:lvlJc w:val="left"/>
      <w:pPr>
        <w:tabs>
          <w:tab w:val="num" w:pos="357"/>
        </w:tabs>
        <w:ind w:left="357" w:hanging="357"/>
      </w:pPr>
      <w:rPr>
        <w:b w:val="0"/>
        <w:i w:val="0"/>
        <w:sz w:val="22"/>
        <w:szCs w:val="22"/>
      </w:rPr>
    </w:lvl>
    <w:lvl w:ilvl="1" w:tplc="14FA1BEE">
      <w:start w:val="1"/>
      <w:numFmt w:val="decimal"/>
      <w:lvlText w:val="%2."/>
      <w:lvlJc w:val="left"/>
      <w:pPr>
        <w:tabs>
          <w:tab w:val="num" w:pos="1440"/>
        </w:tabs>
        <w:ind w:left="1440" w:hanging="360"/>
      </w:pPr>
    </w:lvl>
    <w:lvl w:ilvl="2" w:tplc="DFB23FF8">
      <w:start w:val="1"/>
      <w:numFmt w:val="decimal"/>
      <w:lvlText w:val="%3."/>
      <w:lvlJc w:val="left"/>
      <w:pPr>
        <w:tabs>
          <w:tab w:val="num" w:pos="2160"/>
        </w:tabs>
        <w:ind w:left="2160" w:hanging="360"/>
      </w:pPr>
    </w:lvl>
    <w:lvl w:ilvl="3" w:tplc="715684F2">
      <w:start w:val="1"/>
      <w:numFmt w:val="decimal"/>
      <w:lvlText w:val="%4."/>
      <w:lvlJc w:val="left"/>
      <w:pPr>
        <w:tabs>
          <w:tab w:val="num" w:pos="2880"/>
        </w:tabs>
        <w:ind w:left="2880" w:hanging="360"/>
      </w:pPr>
    </w:lvl>
    <w:lvl w:ilvl="4" w:tplc="CE647AEC">
      <w:start w:val="1"/>
      <w:numFmt w:val="decimal"/>
      <w:lvlText w:val="%5."/>
      <w:lvlJc w:val="left"/>
      <w:pPr>
        <w:tabs>
          <w:tab w:val="num" w:pos="3600"/>
        </w:tabs>
        <w:ind w:left="3600" w:hanging="360"/>
      </w:pPr>
    </w:lvl>
    <w:lvl w:ilvl="5" w:tplc="51EE7B32">
      <w:start w:val="1"/>
      <w:numFmt w:val="decimal"/>
      <w:lvlText w:val="%6."/>
      <w:lvlJc w:val="left"/>
      <w:pPr>
        <w:tabs>
          <w:tab w:val="num" w:pos="4320"/>
        </w:tabs>
        <w:ind w:left="4320" w:hanging="360"/>
      </w:pPr>
    </w:lvl>
    <w:lvl w:ilvl="6" w:tplc="9A1E1768">
      <w:start w:val="1"/>
      <w:numFmt w:val="decimal"/>
      <w:lvlText w:val="%7."/>
      <w:lvlJc w:val="left"/>
      <w:pPr>
        <w:tabs>
          <w:tab w:val="num" w:pos="5040"/>
        </w:tabs>
        <w:ind w:left="5040" w:hanging="360"/>
      </w:pPr>
    </w:lvl>
    <w:lvl w:ilvl="7" w:tplc="5686EC28">
      <w:start w:val="1"/>
      <w:numFmt w:val="decimal"/>
      <w:lvlText w:val="%8."/>
      <w:lvlJc w:val="left"/>
      <w:pPr>
        <w:tabs>
          <w:tab w:val="num" w:pos="5760"/>
        </w:tabs>
        <w:ind w:left="5760" w:hanging="360"/>
      </w:pPr>
    </w:lvl>
    <w:lvl w:ilvl="8" w:tplc="777C563A">
      <w:start w:val="1"/>
      <w:numFmt w:val="decimal"/>
      <w:lvlText w:val="%9."/>
      <w:lvlJc w:val="left"/>
      <w:pPr>
        <w:tabs>
          <w:tab w:val="num" w:pos="6480"/>
        </w:tabs>
        <w:ind w:left="6480" w:hanging="360"/>
      </w:pPr>
    </w:lvl>
  </w:abstractNum>
  <w:abstractNum w:abstractNumId="4" w15:restartNumberingAfterBreak="0">
    <w:nsid w:val="38497EE0"/>
    <w:multiLevelType w:val="hybridMultilevel"/>
    <w:tmpl w:val="794A93CA"/>
    <w:lvl w:ilvl="0" w:tplc="982C3B6E">
      <w:start w:val="1"/>
      <w:numFmt w:val="decimal"/>
      <w:lvlText w:val="%1."/>
      <w:lvlJc w:val="left"/>
      <w:pPr>
        <w:ind w:left="720" w:hanging="360"/>
      </w:pPr>
    </w:lvl>
    <w:lvl w:ilvl="1" w:tplc="6E9CDB32">
      <w:start w:val="1"/>
      <w:numFmt w:val="lowerLetter"/>
      <w:lvlText w:val="%2."/>
      <w:lvlJc w:val="left"/>
      <w:pPr>
        <w:ind w:left="1440" w:hanging="360"/>
      </w:pPr>
    </w:lvl>
    <w:lvl w:ilvl="2" w:tplc="B5E247C6">
      <w:start w:val="1"/>
      <w:numFmt w:val="lowerRoman"/>
      <w:lvlText w:val="%3."/>
      <w:lvlJc w:val="right"/>
      <w:pPr>
        <w:ind w:left="2160" w:hanging="180"/>
      </w:pPr>
    </w:lvl>
    <w:lvl w:ilvl="3" w:tplc="D9D0A0D8">
      <w:start w:val="1"/>
      <w:numFmt w:val="decimal"/>
      <w:lvlText w:val="%4."/>
      <w:lvlJc w:val="left"/>
      <w:pPr>
        <w:ind w:left="2880" w:hanging="360"/>
      </w:pPr>
    </w:lvl>
    <w:lvl w:ilvl="4" w:tplc="FCFE30DC">
      <w:start w:val="1"/>
      <w:numFmt w:val="lowerLetter"/>
      <w:lvlText w:val="%5."/>
      <w:lvlJc w:val="left"/>
      <w:pPr>
        <w:ind w:left="3600" w:hanging="360"/>
      </w:pPr>
    </w:lvl>
    <w:lvl w:ilvl="5" w:tplc="B2062DE4">
      <w:start w:val="1"/>
      <w:numFmt w:val="lowerRoman"/>
      <w:lvlText w:val="%6."/>
      <w:lvlJc w:val="right"/>
      <w:pPr>
        <w:ind w:left="4320" w:hanging="180"/>
      </w:pPr>
    </w:lvl>
    <w:lvl w:ilvl="6" w:tplc="CBE22E0A">
      <w:start w:val="1"/>
      <w:numFmt w:val="decimal"/>
      <w:lvlText w:val="%7."/>
      <w:lvlJc w:val="left"/>
      <w:pPr>
        <w:ind w:left="5040" w:hanging="360"/>
      </w:pPr>
    </w:lvl>
    <w:lvl w:ilvl="7" w:tplc="90B88CA6">
      <w:start w:val="1"/>
      <w:numFmt w:val="lowerLetter"/>
      <w:lvlText w:val="%8."/>
      <w:lvlJc w:val="left"/>
      <w:pPr>
        <w:ind w:left="5760" w:hanging="360"/>
      </w:pPr>
    </w:lvl>
    <w:lvl w:ilvl="8" w:tplc="4A7C0E42">
      <w:start w:val="1"/>
      <w:numFmt w:val="lowerRoman"/>
      <w:lvlText w:val="%9."/>
      <w:lvlJc w:val="right"/>
      <w:pPr>
        <w:ind w:left="6480" w:hanging="180"/>
      </w:pPr>
    </w:lvl>
  </w:abstractNum>
  <w:abstractNum w:abstractNumId="5" w15:restartNumberingAfterBreak="0">
    <w:nsid w:val="54200FBC"/>
    <w:multiLevelType w:val="hybridMultilevel"/>
    <w:tmpl w:val="81C2778E"/>
    <w:lvl w:ilvl="0" w:tplc="15ACEFDA">
      <w:start w:val="1"/>
      <w:numFmt w:val="decimal"/>
      <w:lvlText w:val="%1."/>
      <w:lvlJc w:val="left"/>
      <w:pPr>
        <w:ind w:left="720" w:hanging="360"/>
      </w:pPr>
      <w:rPr>
        <w:b w:val="0"/>
      </w:rPr>
    </w:lvl>
    <w:lvl w:ilvl="1" w:tplc="1332CB02">
      <w:start w:val="1"/>
      <w:numFmt w:val="lowerLetter"/>
      <w:lvlText w:val="%2."/>
      <w:lvlJc w:val="left"/>
      <w:pPr>
        <w:ind w:left="1440" w:hanging="360"/>
      </w:pPr>
    </w:lvl>
    <w:lvl w:ilvl="2" w:tplc="84E00BD0">
      <w:start w:val="1"/>
      <w:numFmt w:val="decimal"/>
      <w:lvlText w:val="%3."/>
      <w:lvlJc w:val="left"/>
      <w:pPr>
        <w:tabs>
          <w:tab w:val="num" w:pos="2160"/>
        </w:tabs>
        <w:ind w:left="2160" w:hanging="360"/>
      </w:pPr>
    </w:lvl>
    <w:lvl w:ilvl="3" w:tplc="82543BFC">
      <w:start w:val="1"/>
      <w:numFmt w:val="decimal"/>
      <w:lvlText w:val="%4."/>
      <w:lvlJc w:val="left"/>
      <w:pPr>
        <w:tabs>
          <w:tab w:val="num" w:pos="2880"/>
        </w:tabs>
        <w:ind w:left="2880" w:hanging="360"/>
      </w:pPr>
    </w:lvl>
    <w:lvl w:ilvl="4" w:tplc="B352062A">
      <w:start w:val="1"/>
      <w:numFmt w:val="decimal"/>
      <w:lvlText w:val="%5."/>
      <w:lvlJc w:val="left"/>
      <w:pPr>
        <w:tabs>
          <w:tab w:val="num" w:pos="3600"/>
        </w:tabs>
        <w:ind w:left="3600" w:hanging="360"/>
      </w:pPr>
    </w:lvl>
    <w:lvl w:ilvl="5" w:tplc="C74095D4">
      <w:start w:val="1"/>
      <w:numFmt w:val="decimal"/>
      <w:lvlText w:val="%6."/>
      <w:lvlJc w:val="left"/>
      <w:pPr>
        <w:tabs>
          <w:tab w:val="num" w:pos="4320"/>
        </w:tabs>
        <w:ind w:left="4320" w:hanging="360"/>
      </w:pPr>
    </w:lvl>
    <w:lvl w:ilvl="6" w:tplc="6E5080D6">
      <w:start w:val="1"/>
      <w:numFmt w:val="decimal"/>
      <w:lvlText w:val="%7."/>
      <w:lvlJc w:val="left"/>
      <w:pPr>
        <w:tabs>
          <w:tab w:val="num" w:pos="5040"/>
        </w:tabs>
        <w:ind w:left="5040" w:hanging="360"/>
      </w:pPr>
    </w:lvl>
    <w:lvl w:ilvl="7" w:tplc="236EA70E">
      <w:start w:val="1"/>
      <w:numFmt w:val="decimal"/>
      <w:lvlText w:val="%8."/>
      <w:lvlJc w:val="left"/>
      <w:pPr>
        <w:tabs>
          <w:tab w:val="num" w:pos="5760"/>
        </w:tabs>
        <w:ind w:left="5760" w:hanging="360"/>
      </w:pPr>
    </w:lvl>
    <w:lvl w:ilvl="8" w:tplc="3D54187E">
      <w:start w:val="1"/>
      <w:numFmt w:val="decimal"/>
      <w:lvlText w:val="%9."/>
      <w:lvlJc w:val="left"/>
      <w:pPr>
        <w:tabs>
          <w:tab w:val="num" w:pos="6480"/>
        </w:tabs>
        <w:ind w:left="6480" w:hanging="360"/>
      </w:pPr>
    </w:lvl>
  </w:abstractNum>
  <w:abstractNum w:abstractNumId="6" w15:restartNumberingAfterBreak="0">
    <w:nsid w:val="55B12B86"/>
    <w:multiLevelType w:val="hybridMultilevel"/>
    <w:tmpl w:val="F9B41198"/>
    <w:lvl w:ilvl="0" w:tplc="7D5A551E">
      <w:start w:val="1"/>
      <w:numFmt w:val="decimal"/>
      <w:lvlText w:val="%1."/>
      <w:lvlJc w:val="left"/>
      <w:pPr>
        <w:tabs>
          <w:tab w:val="num" w:pos="357"/>
        </w:tabs>
        <w:ind w:left="357" w:hanging="357"/>
      </w:pPr>
    </w:lvl>
    <w:lvl w:ilvl="1" w:tplc="C0A884FC">
      <w:start w:val="1"/>
      <w:numFmt w:val="decimal"/>
      <w:lvlText w:val="%2."/>
      <w:lvlJc w:val="left"/>
      <w:pPr>
        <w:tabs>
          <w:tab w:val="num" w:pos="1440"/>
        </w:tabs>
        <w:ind w:left="1440" w:hanging="360"/>
      </w:pPr>
    </w:lvl>
    <w:lvl w:ilvl="2" w:tplc="5560D51E">
      <w:start w:val="1"/>
      <w:numFmt w:val="decimal"/>
      <w:lvlText w:val="%3."/>
      <w:lvlJc w:val="left"/>
      <w:pPr>
        <w:tabs>
          <w:tab w:val="num" w:pos="2160"/>
        </w:tabs>
        <w:ind w:left="2160" w:hanging="360"/>
      </w:pPr>
    </w:lvl>
    <w:lvl w:ilvl="3" w:tplc="6E0C3F1A">
      <w:start w:val="1"/>
      <w:numFmt w:val="decimal"/>
      <w:lvlText w:val="%4."/>
      <w:lvlJc w:val="left"/>
      <w:pPr>
        <w:tabs>
          <w:tab w:val="num" w:pos="2880"/>
        </w:tabs>
        <w:ind w:left="2880" w:hanging="360"/>
      </w:pPr>
    </w:lvl>
    <w:lvl w:ilvl="4" w:tplc="1FA69FDE">
      <w:start w:val="1"/>
      <w:numFmt w:val="decimal"/>
      <w:lvlText w:val="%5."/>
      <w:lvlJc w:val="left"/>
      <w:pPr>
        <w:tabs>
          <w:tab w:val="num" w:pos="3600"/>
        </w:tabs>
        <w:ind w:left="3600" w:hanging="360"/>
      </w:pPr>
    </w:lvl>
    <w:lvl w:ilvl="5" w:tplc="92F2DFA6">
      <w:start w:val="1"/>
      <w:numFmt w:val="decimal"/>
      <w:lvlText w:val="%6."/>
      <w:lvlJc w:val="left"/>
      <w:pPr>
        <w:tabs>
          <w:tab w:val="num" w:pos="4320"/>
        </w:tabs>
        <w:ind w:left="4320" w:hanging="360"/>
      </w:pPr>
    </w:lvl>
    <w:lvl w:ilvl="6" w:tplc="8874467E">
      <w:start w:val="1"/>
      <w:numFmt w:val="decimal"/>
      <w:lvlText w:val="%7."/>
      <w:lvlJc w:val="left"/>
      <w:pPr>
        <w:tabs>
          <w:tab w:val="num" w:pos="5040"/>
        </w:tabs>
        <w:ind w:left="5040" w:hanging="360"/>
      </w:pPr>
    </w:lvl>
    <w:lvl w:ilvl="7" w:tplc="A18AC812">
      <w:start w:val="1"/>
      <w:numFmt w:val="decimal"/>
      <w:lvlText w:val="%8."/>
      <w:lvlJc w:val="left"/>
      <w:pPr>
        <w:tabs>
          <w:tab w:val="num" w:pos="5760"/>
        </w:tabs>
        <w:ind w:left="5760" w:hanging="360"/>
      </w:pPr>
    </w:lvl>
    <w:lvl w:ilvl="8" w:tplc="1124FD8E">
      <w:start w:val="1"/>
      <w:numFmt w:val="decimal"/>
      <w:lvlText w:val="%9."/>
      <w:lvlJc w:val="left"/>
      <w:pPr>
        <w:tabs>
          <w:tab w:val="num" w:pos="6480"/>
        </w:tabs>
        <w:ind w:left="6480" w:hanging="360"/>
      </w:pPr>
    </w:lvl>
  </w:abstractNum>
  <w:abstractNum w:abstractNumId="7" w15:restartNumberingAfterBreak="0">
    <w:nsid w:val="6662064E"/>
    <w:multiLevelType w:val="hybridMultilevel"/>
    <w:tmpl w:val="F9F6D4B6"/>
    <w:lvl w:ilvl="0" w:tplc="A6AA6F26">
      <w:start w:val="1"/>
      <w:numFmt w:val="bullet"/>
      <w:lvlText w:val=""/>
      <w:lvlJc w:val="left"/>
      <w:pPr>
        <w:ind w:left="574" w:hanging="360"/>
      </w:pPr>
      <w:rPr>
        <w:rFonts w:ascii="Symbol" w:hAnsi="Symbol" w:hint="default"/>
      </w:rPr>
    </w:lvl>
    <w:lvl w:ilvl="1" w:tplc="9CCA746A">
      <w:start w:val="1"/>
      <w:numFmt w:val="bullet"/>
      <w:lvlText w:val="o"/>
      <w:lvlJc w:val="left"/>
      <w:pPr>
        <w:ind w:left="1294" w:hanging="360"/>
      </w:pPr>
      <w:rPr>
        <w:rFonts w:ascii="Courier New" w:hAnsi="Courier New" w:cs="Courier New" w:hint="default"/>
      </w:rPr>
    </w:lvl>
    <w:lvl w:ilvl="2" w:tplc="770EF748">
      <w:start w:val="1"/>
      <w:numFmt w:val="bullet"/>
      <w:lvlText w:val=""/>
      <w:lvlJc w:val="left"/>
      <w:pPr>
        <w:ind w:left="2014" w:hanging="360"/>
      </w:pPr>
      <w:rPr>
        <w:rFonts w:ascii="Wingdings" w:hAnsi="Wingdings" w:hint="default"/>
      </w:rPr>
    </w:lvl>
    <w:lvl w:ilvl="3" w:tplc="36FA86D8">
      <w:start w:val="1"/>
      <w:numFmt w:val="bullet"/>
      <w:lvlText w:val=""/>
      <w:lvlJc w:val="left"/>
      <w:pPr>
        <w:ind w:left="2734" w:hanging="360"/>
      </w:pPr>
      <w:rPr>
        <w:rFonts w:ascii="Symbol" w:hAnsi="Symbol" w:hint="default"/>
      </w:rPr>
    </w:lvl>
    <w:lvl w:ilvl="4" w:tplc="7E40FDB0">
      <w:start w:val="1"/>
      <w:numFmt w:val="bullet"/>
      <w:lvlText w:val="o"/>
      <w:lvlJc w:val="left"/>
      <w:pPr>
        <w:ind w:left="3454" w:hanging="360"/>
      </w:pPr>
      <w:rPr>
        <w:rFonts w:ascii="Courier New" w:hAnsi="Courier New" w:cs="Courier New" w:hint="default"/>
      </w:rPr>
    </w:lvl>
    <w:lvl w:ilvl="5" w:tplc="EF9CF47C">
      <w:start w:val="1"/>
      <w:numFmt w:val="bullet"/>
      <w:lvlText w:val=""/>
      <w:lvlJc w:val="left"/>
      <w:pPr>
        <w:ind w:left="4174" w:hanging="360"/>
      </w:pPr>
      <w:rPr>
        <w:rFonts w:ascii="Wingdings" w:hAnsi="Wingdings" w:hint="default"/>
      </w:rPr>
    </w:lvl>
    <w:lvl w:ilvl="6" w:tplc="E24AB1DE">
      <w:start w:val="1"/>
      <w:numFmt w:val="bullet"/>
      <w:lvlText w:val=""/>
      <w:lvlJc w:val="left"/>
      <w:pPr>
        <w:ind w:left="4894" w:hanging="360"/>
      </w:pPr>
      <w:rPr>
        <w:rFonts w:ascii="Symbol" w:hAnsi="Symbol" w:hint="default"/>
      </w:rPr>
    </w:lvl>
    <w:lvl w:ilvl="7" w:tplc="FE2EE508">
      <w:start w:val="1"/>
      <w:numFmt w:val="bullet"/>
      <w:lvlText w:val="o"/>
      <w:lvlJc w:val="left"/>
      <w:pPr>
        <w:ind w:left="5614" w:hanging="360"/>
      </w:pPr>
      <w:rPr>
        <w:rFonts w:ascii="Courier New" w:hAnsi="Courier New" w:cs="Courier New" w:hint="default"/>
      </w:rPr>
    </w:lvl>
    <w:lvl w:ilvl="8" w:tplc="F0A0B068">
      <w:start w:val="1"/>
      <w:numFmt w:val="bullet"/>
      <w:lvlText w:val=""/>
      <w:lvlJc w:val="left"/>
      <w:pPr>
        <w:ind w:left="6334" w:hanging="360"/>
      </w:pPr>
      <w:rPr>
        <w:rFonts w:ascii="Wingdings" w:hAnsi="Wingdings" w:hint="default"/>
      </w:rPr>
    </w:lvl>
  </w:abstractNum>
  <w:abstractNum w:abstractNumId="8" w15:restartNumberingAfterBreak="0">
    <w:nsid w:val="669B1003"/>
    <w:multiLevelType w:val="hybridMultilevel"/>
    <w:tmpl w:val="DA2433E0"/>
    <w:lvl w:ilvl="0" w:tplc="0ADE6BCA">
      <w:start w:val="1"/>
      <w:numFmt w:val="decimal"/>
      <w:lvlText w:val="%1."/>
      <w:lvlJc w:val="left"/>
      <w:pPr>
        <w:ind w:left="720" w:hanging="360"/>
      </w:pPr>
    </w:lvl>
    <w:lvl w:ilvl="1" w:tplc="7AD00946">
      <w:start w:val="1"/>
      <w:numFmt w:val="decimal"/>
      <w:lvlText w:val="%2."/>
      <w:lvlJc w:val="left"/>
      <w:pPr>
        <w:tabs>
          <w:tab w:val="num" w:pos="1440"/>
        </w:tabs>
        <w:ind w:left="1440" w:hanging="360"/>
      </w:pPr>
    </w:lvl>
    <w:lvl w:ilvl="2" w:tplc="337A3B84">
      <w:start w:val="1"/>
      <w:numFmt w:val="decimal"/>
      <w:lvlText w:val="%3."/>
      <w:lvlJc w:val="left"/>
      <w:pPr>
        <w:tabs>
          <w:tab w:val="num" w:pos="2160"/>
        </w:tabs>
        <w:ind w:left="2160" w:hanging="360"/>
      </w:pPr>
    </w:lvl>
    <w:lvl w:ilvl="3" w:tplc="A7749A1E">
      <w:start w:val="1"/>
      <w:numFmt w:val="decimal"/>
      <w:lvlText w:val="%4."/>
      <w:lvlJc w:val="left"/>
      <w:pPr>
        <w:tabs>
          <w:tab w:val="num" w:pos="2880"/>
        </w:tabs>
        <w:ind w:left="2880" w:hanging="360"/>
      </w:pPr>
    </w:lvl>
    <w:lvl w:ilvl="4" w:tplc="2140D760">
      <w:start w:val="1"/>
      <w:numFmt w:val="decimal"/>
      <w:lvlText w:val="%5."/>
      <w:lvlJc w:val="left"/>
      <w:pPr>
        <w:tabs>
          <w:tab w:val="num" w:pos="3600"/>
        </w:tabs>
        <w:ind w:left="3600" w:hanging="360"/>
      </w:pPr>
    </w:lvl>
    <w:lvl w:ilvl="5" w:tplc="22D6EF4E">
      <w:start w:val="1"/>
      <w:numFmt w:val="decimal"/>
      <w:lvlText w:val="%6."/>
      <w:lvlJc w:val="left"/>
      <w:pPr>
        <w:tabs>
          <w:tab w:val="num" w:pos="4320"/>
        </w:tabs>
        <w:ind w:left="4320" w:hanging="360"/>
      </w:pPr>
    </w:lvl>
    <w:lvl w:ilvl="6" w:tplc="191A7AC0">
      <w:start w:val="1"/>
      <w:numFmt w:val="decimal"/>
      <w:lvlText w:val="%7."/>
      <w:lvlJc w:val="left"/>
      <w:pPr>
        <w:tabs>
          <w:tab w:val="num" w:pos="5040"/>
        </w:tabs>
        <w:ind w:left="5040" w:hanging="360"/>
      </w:pPr>
    </w:lvl>
    <w:lvl w:ilvl="7" w:tplc="74AA0C56">
      <w:start w:val="1"/>
      <w:numFmt w:val="decimal"/>
      <w:lvlText w:val="%8."/>
      <w:lvlJc w:val="left"/>
      <w:pPr>
        <w:tabs>
          <w:tab w:val="num" w:pos="5760"/>
        </w:tabs>
        <w:ind w:left="5760" w:hanging="360"/>
      </w:pPr>
    </w:lvl>
    <w:lvl w:ilvl="8" w:tplc="ACC6C91A">
      <w:start w:val="1"/>
      <w:numFmt w:val="decimal"/>
      <w:lvlText w:val="%9."/>
      <w:lvlJc w:val="left"/>
      <w:pPr>
        <w:tabs>
          <w:tab w:val="num" w:pos="6480"/>
        </w:tabs>
        <w:ind w:left="6480" w:hanging="360"/>
      </w:pPr>
    </w:lvl>
  </w:abstractNum>
  <w:abstractNum w:abstractNumId="9" w15:restartNumberingAfterBreak="0">
    <w:nsid w:val="704C5EB7"/>
    <w:multiLevelType w:val="hybridMultilevel"/>
    <w:tmpl w:val="DA3AA3E0"/>
    <w:lvl w:ilvl="0" w:tplc="50BA79F0">
      <w:start w:val="1"/>
      <w:numFmt w:val="decimal"/>
      <w:lvlText w:val="%1."/>
      <w:lvlJc w:val="left"/>
      <w:pPr>
        <w:tabs>
          <w:tab w:val="num" w:pos="357"/>
        </w:tabs>
        <w:ind w:left="357" w:hanging="357"/>
      </w:pPr>
    </w:lvl>
    <w:lvl w:ilvl="1" w:tplc="7A08E578">
      <w:start w:val="1"/>
      <w:numFmt w:val="decimal"/>
      <w:lvlText w:val="%2."/>
      <w:lvlJc w:val="left"/>
      <w:pPr>
        <w:tabs>
          <w:tab w:val="num" w:pos="1440"/>
        </w:tabs>
        <w:ind w:left="1440" w:hanging="360"/>
      </w:pPr>
    </w:lvl>
    <w:lvl w:ilvl="2" w:tplc="B9520B8C">
      <w:start w:val="1"/>
      <w:numFmt w:val="decimal"/>
      <w:lvlText w:val="%3."/>
      <w:lvlJc w:val="left"/>
      <w:pPr>
        <w:tabs>
          <w:tab w:val="num" w:pos="2160"/>
        </w:tabs>
        <w:ind w:left="2160" w:hanging="360"/>
      </w:pPr>
    </w:lvl>
    <w:lvl w:ilvl="3" w:tplc="65D87840">
      <w:start w:val="1"/>
      <w:numFmt w:val="decimal"/>
      <w:lvlText w:val="%4."/>
      <w:lvlJc w:val="left"/>
      <w:pPr>
        <w:tabs>
          <w:tab w:val="num" w:pos="2880"/>
        </w:tabs>
        <w:ind w:left="2880" w:hanging="360"/>
      </w:pPr>
    </w:lvl>
    <w:lvl w:ilvl="4" w:tplc="AB0202D0">
      <w:start w:val="1"/>
      <w:numFmt w:val="decimal"/>
      <w:lvlText w:val="%5."/>
      <w:lvlJc w:val="left"/>
      <w:pPr>
        <w:tabs>
          <w:tab w:val="num" w:pos="3600"/>
        </w:tabs>
        <w:ind w:left="3600" w:hanging="360"/>
      </w:pPr>
    </w:lvl>
    <w:lvl w:ilvl="5" w:tplc="5B7AE748">
      <w:start w:val="1"/>
      <w:numFmt w:val="decimal"/>
      <w:lvlText w:val="%6."/>
      <w:lvlJc w:val="left"/>
      <w:pPr>
        <w:tabs>
          <w:tab w:val="num" w:pos="4320"/>
        </w:tabs>
        <w:ind w:left="4320" w:hanging="360"/>
      </w:pPr>
    </w:lvl>
    <w:lvl w:ilvl="6" w:tplc="7450C498">
      <w:start w:val="1"/>
      <w:numFmt w:val="decimal"/>
      <w:lvlText w:val="%7."/>
      <w:lvlJc w:val="left"/>
      <w:pPr>
        <w:tabs>
          <w:tab w:val="num" w:pos="5040"/>
        </w:tabs>
        <w:ind w:left="5040" w:hanging="360"/>
      </w:pPr>
    </w:lvl>
    <w:lvl w:ilvl="7" w:tplc="8D9AD154">
      <w:start w:val="1"/>
      <w:numFmt w:val="decimal"/>
      <w:lvlText w:val="%8."/>
      <w:lvlJc w:val="left"/>
      <w:pPr>
        <w:tabs>
          <w:tab w:val="num" w:pos="5760"/>
        </w:tabs>
        <w:ind w:left="5760" w:hanging="360"/>
      </w:pPr>
    </w:lvl>
    <w:lvl w:ilvl="8" w:tplc="2E3C24B2">
      <w:start w:val="1"/>
      <w:numFmt w:val="decimal"/>
      <w:lvlText w:val="%9."/>
      <w:lvlJc w:val="left"/>
      <w:pPr>
        <w:tabs>
          <w:tab w:val="num" w:pos="6480"/>
        </w:tabs>
        <w:ind w:left="6480" w:hanging="360"/>
      </w:pPr>
    </w:lvl>
  </w:abstractNum>
  <w:abstractNum w:abstractNumId="10" w15:restartNumberingAfterBreak="0">
    <w:nsid w:val="70DA2AFA"/>
    <w:multiLevelType w:val="hybridMultilevel"/>
    <w:tmpl w:val="19E26E76"/>
    <w:lvl w:ilvl="0" w:tplc="9120F3BA">
      <w:start w:val="1"/>
      <w:numFmt w:val="decimal"/>
      <w:lvlText w:val="%1."/>
      <w:lvlJc w:val="left"/>
      <w:pPr>
        <w:ind w:left="720" w:hanging="360"/>
      </w:pPr>
      <w:rPr>
        <w:b w:val="0"/>
        <w:i w:val="0"/>
      </w:rPr>
    </w:lvl>
    <w:lvl w:ilvl="1" w:tplc="B510B3E4">
      <w:start w:val="1"/>
      <w:numFmt w:val="decimal"/>
      <w:lvlText w:val="%2."/>
      <w:lvlJc w:val="left"/>
      <w:pPr>
        <w:tabs>
          <w:tab w:val="num" w:pos="1440"/>
        </w:tabs>
        <w:ind w:left="1440" w:hanging="360"/>
      </w:pPr>
    </w:lvl>
    <w:lvl w:ilvl="2" w:tplc="AABA52BE">
      <w:start w:val="1"/>
      <w:numFmt w:val="decimal"/>
      <w:lvlText w:val="%3."/>
      <w:lvlJc w:val="left"/>
      <w:pPr>
        <w:tabs>
          <w:tab w:val="num" w:pos="2160"/>
        </w:tabs>
        <w:ind w:left="2160" w:hanging="360"/>
      </w:pPr>
    </w:lvl>
    <w:lvl w:ilvl="3" w:tplc="D5E4422E">
      <w:start w:val="1"/>
      <w:numFmt w:val="decimal"/>
      <w:lvlText w:val="%4."/>
      <w:lvlJc w:val="left"/>
      <w:pPr>
        <w:tabs>
          <w:tab w:val="num" w:pos="2880"/>
        </w:tabs>
        <w:ind w:left="2880" w:hanging="360"/>
      </w:pPr>
    </w:lvl>
    <w:lvl w:ilvl="4" w:tplc="457AE236">
      <w:start w:val="1"/>
      <w:numFmt w:val="decimal"/>
      <w:lvlText w:val="%5."/>
      <w:lvlJc w:val="left"/>
      <w:pPr>
        <w:tabs>
          <w:tab w:val="num" w:pos="3600"/>
        </w:tabs>
        <w:ind w:left="3600" w:hanging="360"/>
      </w:pPr>
    </w:lvl>
    <w:lvl w:ilvl="5" w:tplc="DCC0466C">
      <w:start w:val="1"/>
      <w:numFmt w:val="decimal"/>
      <w:lvlText w:val="%6."/>
      <w:lvlJc w:val="left"/>
      <w:pPr>
        <w:tabs>
          <w:tab w:val="num" w:pos="4320"/>
        </w:tabs>
        <w:ind w:left="4320" w:hanging="360"/>
      </w:pPr>
    </w:lvl>
    <w:lvl w:ilvl="6" w:tplc="12B2810E">
      <w:start w:val="1"/>
      <w:numFmt w:val="decimal"/>
      <w:lvlText w:val="%7."/>
      <w:lvlJc w:val="left"/>
      <w:pPr>
        <w:tabs>
          <w:tab w:val="num" w:pos="5040"/>
        </w:tabs>
        <w:ind w:left="5040" w:hanging="360"/>
      </w:pPr>
    </w:lvl>
    <w:lvl w:ilvl="7" w:tplc="7F60F22E">
      <w:start w:val="1"/>
      <w:numFmt w:val="decimal"/>
      <w:lvlText w:val="%8."/>
      <w:lvlJc w:val="left"/>
      <w:pPr>
        <w:tabs>
          <w:tab w:val="num" w:pos="5760"/>
        </w:tabs>
        <w:ind w:left="5760" w:hanging="360"/>
      </w:pPr>
    </w:lvl>
    <w:lvl w:ilvl="8" w:tplc="7786E1FA">
      <w:start w:val="1"/>
      <w:numFmt w:val="decimal"/>
      <w:lvlText w:val="%9."/>
      <w:lvlJc w:val="left"/>
      <w:pPr>
        <w:tabs>
          <w:tab w:val="num" w:pos="6480"/>
        </w:tabs>
        <w:ind w:left="6480" w:hanging="360"/>
      </w:pPr>
    </w:lvl>
  </w:abstractNum>
  <w:abstractNum w:abstractNumId="11" w15:restartNumberingAfterBreak="0">
    <w:nsid w:val="7A427B74"/>
    <w:multiLevelType w:val="hybridMultilevel"/>
    <w:tmpl w:val="EDD0C3F2"/>
    <w:lvl w:ilvl="0" w:tplc="CC5EA940">
      <w:start w:val="1"/>
      <w:numFmt w:val="bullet"/>
      <w:lvlText w:val=""/>
      <w:lvlJc w:val="left"/>
      <w:pPr>
        <w:ind w:left="1146" w:hanging="360"/>
      </w:pPr>
      <w:rPr>
        <w:rFonts w:ascii="Symbol" w:hAnsi="Symbol" w:hint="default"/>
      </w:rPr>
    </w:lvl>
    <w:lvl w:ilvl="1" w:tplc="A266AA90">
      <w:start w:val="1"/>
      <w:numFmt w:val="bullet"/>
      <w:lvlText w:val="o"/>
      <w:lvlJc w:val="left"/>
      <w:pPr>
        <w:ind w:left="1866" w:hanging="360"/>
      </w:pPr>
      <w:rPr>
        <w:rFonts w:ascii="Courier New" w:hAnsi="Courier New" w:cs="Courier New" w:hint="default"/>
      </w:rPr>
    </w:lvl>
    <w:lvl w:ilvl="2" w:tplc="FA3EB420">
      <w:start w:val="1"/>
      <w:numFmt w:val="bullet"/>
      <w:lvlText w:val=""/>
      <w:lvlJc w:val="left"/>
      <w:pPr>
        <w:ind w:left="2586" w:hanging="360"/>
      </w:pPr>
      <w:rPr>
        <w:rFonts w:ascii="Wingdings" w:hAnsi="Wingdings" w:hint="default"/>
      </w:rPr>
    </w:lvl>
    <w:lvl w:ilvl="3" w:tplc="B29EEA76">
      <w:start w:val="1"/>
      <w:numFmt w:val="bullet"/>
      <w:lvlText w:val=""/>
      <w:lvlJc w:val="left"/>
      <w:pPr>
        <w:ind w:left="3306" w:hanging="360"/>
      </w:pPr>
      <w:rPr>
        <w:rFonts w:ascii="Symbol" w:hAnsi="Symbol" w:hint="default"/>
      </w:rPr>
    </w:lvl>
    <w:lvl w:ilvl="4" w:tplc="5C024DB4">
      <w:start w:val="1"/>
      <w:numFmt w:val="bullet"/>
      <w:lvlText w:val="o"/>
      <w:lvlJc w:val="left"/>
      <w:pPr>
        <w:ind w:left="4026" w:hanging="360"/>
      </w:pPr>
      <w:rPr>
        <w:rFonts w:ascii="Courier New" w:hAnsi="Courier New" w:cs="Courier New" w:hint="default"/>
      </w:rPr>
    </w:lvl>
    <w:lvl w:ilvl="5" w:tplc="42CE5E3E">
      <w:start w:val="1"/>
      <w:numFmt w:val="bullet"/>
      <w:lvlText w:val=""/>
      <w:lvlJc w:val="left"/>
      <w:pPr>
        <w:ind w:left="4746" w:hanging="360"/>
      </w:pPr>
      <w:rPr>
        <w:rFonts w:ascii="Wingdings" w:hAnsi="Wingdings" w:hint="default"/>
      </w:rPr>
    </w:lvl>
    <w:lvl w:ilvl="6" w:tplc="E41ECE1E">
      <w:start w:val="1"/>
      <w:numFmt w:val="bullet"/>
      <w:lvlText w:val=""/>
      <w:lvlJc w:val="left"/>
      <w:pPr>
        <w:ind w:left="5466" w:hanging="360"/>
      </w:pPr>
      <w:rPr>
        <w:rFonts w:ascii="Symbol" w:hAnsi="Symbol" w:hint="default"/>
      </w:rPr>
    </w:lvl>
    <w:lvl w:ilvl="7" w:tplc="0792E980">
      <w:start w:val="1"/>
      <w:numFmt w:val="bullet"/>
      <w:lvlText w:val="o"/>
      <w:lvlJc w:val="left"/>
      <w:pPr>
        <w:ind w:left="6186" w:hanging="360"/>
      </w:pPr>
      <w:rPr>
        <w:rFonts w:ascii="Courier New" w:hAnsi="Courier New" w:cs="Courier New" w:hint="default"/>
      </w:rPr>
    </w:lvl>
    <w:lvl w:ilvl="8" w:tplc="7D9C43D0">
      <w:start w:val="1"/>
      <w:numFmt w:val="bullet"/>
      <w:lvlText w:val=""/>
      <w:lvlJc w:val="left"/>
      <w:pPr>
        <w:ind w:left="690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CD"/>
    <w:rsid w:val="00105915"/>
    <w:rsid w:val="00723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C1AB"/>
  <w15:chartTrackingRefBased/>
  <w15:docId w15:val="{8A5A273A-8962-4AE4-9272-D682AE1B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3AC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723ACD"/>
    <w:pPr>
      <w:spacing w:before="100" w:beforeAutospacing="1" w:after="100" w:afterAutospacing="1"/>
    </w:pPr>
  </w:style>
  <w:style w:type="paragraph" w:styleId="Textkomente">
    <w:name w:val="annotation text"/>
    <w:basedOn w:val="Normln"/>
    <w:link w:val="TextkomenteChar"/>
    <w:uiPriority w:val="99"/>
    <w:semiHidden/>
    <w:unhideWhenUsed/>
    <w:rsid w:val="00723ACD"/>
    <w:rPr>
      <w:sz w:val="20"/>
      <w:szCs w:val="20"/>
    </w:rPr>
  </w:style>
  <w:style w:type="character" w:customStyle="1" w:styleId="TextkomenteChar">
    <w:name w:val="Text komentáře Char"/>
    <w:basedOn w:val="Standardnpsmoodstavce"/>
    <w:link w:val="Textkomente"/>
    <w:uiPriority w:val="99"/>
    <w:semiHidden/>
    <w:rsid w:val="00723ACD"/>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723ACD"/>
    <w:pPr>
      <w:jc w:val="both"/>
    </w:pPr>
    <w:rPr>
      <w:b/>
      <w:szCs w:val="20"/>
    </w:rPr>
  </w:style>
  <w:style w:type="character" w:customStyle="1" w:styleId="ZkladntextChar">
    <w:name w:val="Základní text Char"/>
    <w:basedOn w:val="Standardnpsmoodstavce"/>
    <w:link w:val="Zkladntext"/>
    <w:uiPriority w:val="99"/>
    <w:semiHidden/>
    <w:rsid w:val="00723ACD"/>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uiPriority w:val="99"/>
    <w:semiHidden/>
    <w:unhideWhenUsed/>
    <w:rsid w:val="00723ACD"/>
    <w:pPr>
      <w:spacing w:after="120"/>
      <w:ind w:left="283"/>
    </w:pPr>
  </w:style>
  <w:style w:type="character" w:customStyle="1" w:styleId="ZkladntextodsazenChar">
    <w:name w:val="Základní text odsazený Char"/>
    <w:basedOn w:val="Standardnpsmoodstavce"/>
    <w:link w:val="Zkladntextodsazen"/>
    <w:uiPriority w:val="99"/>
    <w:semiHidden/>
    <w:rsid w:val="00723ACD"/>
    <w:rPr>
      <w:rFonts w:ascii="Times New Roman" w:eastAsia="Times New Roman" w:hAnsi="Times New Roman" w:cs="Times New Roman"/>
      <w:sz w:val="24"/>
      <w:szCs w:val="24"/>
      <w:lang w:eastAsia="cs-CZ"/>
    </w:rPr>
  </w:style>
  <w:style w:type="paragraph" w:styleId="Textvbloku">
    <w:name w:val="Block Text"/>
    <w:basedOn w:val="Normln"/>
    <w:semiHidden/>
    <w:unhideWhenUsed/>
    <w:rsid w:val="00723ACD"/>
    <w:pPr>
      <w:ind w:left="-540" w:right="-828"/>
      <w:jc w:val="both"/>
    </w:pPr>
  </w:style>
  <w:style w:type="paragraph" w:styleId="Odstavecseseznamem">
    <w:name w:val="List Paragraph"/>
    <w:basedOn w:val="Normln"/>
    <w:uiPriority w:val="34"/>
    <w:qFormat/>
    <w:rsid w:val="00723ACD"/>
    <w:pPr>
      <w:ind w:left="720"/>
      <w:contextualSpacing/>
    </w:pPr>
  </w:style>
  <w:style w:type="paragraph" w:customStyle="1" w:styleId="adresa">
    <w:name w:val="adresa"/>
    <w:basedOn w:val="Normln"/>
    <w:uiPriority w:val="99"/>
    <w:semiHidden/>
    <w:rsid w:val="00723ACD"/>
    <w:pPr>
      <w:tabs>
        <w:tab w:val="left" w:pos="3402"/>
        <w:tab w:val="left" w:pos="6237"/>
      </w:tabs>
      <w:jc w:val="both"/>
    </w:pPr>
    <w:rPr>
      <w:szCs w:val="20"/>
    </w:rPr>
  </w:style>
  <w:style w:type="paragraph" w:customStyle="1" w:styleId="para">
    <w:name w:val="para"/>
    <w:basedOn w:val="Normln"/>
    <w:semiHidden/>
    <w:rsid w:val="00723ACD"/>
    <w:pPr>
      <w:tabs>
        <w:tab w:val="left" w:pos="709"/>
      </w:tabs>
      <w:jc w:val="center"/>
    </w:pPr>
    <w:rPr>
      <w:b/>
      <w:szCs w:val="20"/>
    </w:rPr>
  </w:style>
  <w:style w:type="paragraph" w:customStyle="1" w:styleId="vnintext">
    <w:name w:val="vniřnítext"/>
    <w:basedOn w:val="Normln"/>
    <w:semiHidden/>
    <w:rsid w:val="00723ACD"/>
    <w:pPr>
      <w:tabs>
        <w:tab w:val="left" w:pos="709"/>
      </w:tabs>
      <w:ind w:firstLine="426"/>
      <w:jc w:val="both"/>
    </w:pPr>
    <w:rPr>
      <w:szCs w:val="20"/>
    </w:rPr>
  </w:style>
  <w:style w:type="paragraph" w:customStyle="1" w:styleId="obec">
    <w:name w:val="obec"/>
    <w:basedOn w:val="Normln"/>
    <w:semiHidden/>
    <w:rsid w:val="00723ACD"/>
    <w:pPr>
      <w:tabs>
        <w:tab w:val="left" w:pos="1418"/>
        <w:tab w:val="left" w:pos="4678"/>
        <w:tab w:val="right" w:pos="8931"/>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2473</Words>
  <Characters>14591</Characters>
  <Application>Microsoft Office Word</Application>
  <DocSecurity>0</DocSecurity>
  <Lines>121</Lines>
  <Paragraphs>34</Paragraphs>
  <ScaleCrop>false</ScaleCrop>
  <Company>ÚZSVM</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Čižinský Zdeněk</dc:creator>
  <cp:keywords/>
  <dc:description/>
  <cp:lastModifiedBy>Čižinský Zdeněk</cp:lastModifiedBy>
  <cp:revision>1</cp:revision>
  <dcterms:created xsi:type="dcterms:W3CDTF">2021-08-10T06:57:00Z</dcterms:created>
  <dcterms:modified xsi:type="dcterms:W3CDTF">2021-08-10T07:04:00Z</dcterms:modified>
</cp:coreProperties>
</file>