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E0" w:rsidRPr="009A6669" w:rsidRDefault="001E40E0" w:rsidP="001E40E0">
      <w:pPr>
        <w:tabs>
          <w:tab w:val="left" w:leader="underscore" w:pos="9082"/>
        </w:tabs>
        <w:ind w:right="10"/>
        <w:rPr>
          <w:rStyle w:val="Zkladntext28ptTun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857"/>
        <w:gridCol w:w="857"/>
        <w:gridCol w:w="928"/>
        <w:gridCol w:w="692"/>
        <w:gridCol w:w="576"/>
        <w:gridCol w:w="1276"/>
        <w:gridCol w:w="2191"/>
        <w:gridCol w:w="984"/>
      </w:tblGrid>
      <w:tr w:rsidR="001E40E0" w:rsidRPr="009A6669" w:rsidTr="00C32414">
        <w:trPr>
          <w:trHeight w:hRule="exact" w:val="167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ind w:right="240"/>
              <w:jc w:val="righ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poř.</w:t>
            </w:r>
          </w:p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ind w:left="260"/>
              <w:jc w:val="lef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číslo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jc w:val="center"/>
              <w:rPr>
                <w:rStyle w:val="Zkladntext28ptTun"/>
              </w:rPr>
            </w:pPr>
            <w:r>
              <w:rPr>
                <w:rStyle w:val="Zkladntext28ptTun"/>
              </w:rPr>
              <w:t>KÚ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p.p.č.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211" w:lineRule="exact"/>
              <w:ind w:left="260"/>
              <w:jc w:val="lef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oddělen z p.p.č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jc w:val="left"/>
              <w:rPr>
                <w:sz w:val="16"/>
                <w:szCs w:val="16"/>
              </w:rPr>
            </w:pPr>
            <w:r>
              <w:rPr>
                <w:rStyle w:val="Zkladntext28ptTun"/>
              </w:rPr>
              <w:t xml:space="preserve">   </w:t>
            </w:r>
            <w:r w:rsidRPr="00874B19">
              <w:rPr>
                <w:rStyle w:val="Zkladntext28ptTun"/>
              </w:rPr>
              <w:t>výměra</w:t>
            </w:r>
          </w:p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ind w:left="260"/>
              <w:jc w:val="lef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(m</w:t>
            </w:r>
            <w:r w:rsidRPr="00874B19">
              <w:rPr>
                <w:rStyle w:val="Zkladntext28ptTun"/>
                <w:vertAlign w:val="superscript"/>
              </w:rPr>
              <w:t>2</w:t>
            </w:r>
            <w:r w:rsidRPr="00874B19">
              <w:rPr>
                <w:rStyle w:val="Zkladntext28ptTun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LV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206" w:lineRule="exact"/>
              <w:ind w:left="240"/>
              <w:jc w:val="lef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potřebnost/</w:t>
            </w:r>
          </w:p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206" w:lineRule="exact"/>
              <w:ind w:left="140"/>
              <w:jc w:val="lef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nepotřebnost</w:t>
            </w:r>
          </w:p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206" w:lineRule="exact"/>
              <w:jc w:val="center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(P/N)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206" w:lineRule="exac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konkrétní specifikace části silnice/dálnice, nebo stavby jiného vlastníka, která se na pozemku nachází (čelo propustku, vozovka, příkop, chodník, účelová kom., cyklostezka, cyklotrasa atd.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Druh</w:t>
            </w:r>
          </w:p>
          <w:p w:rsidR="001E40E0" w:rsidRPr="00874B19" w:rsidRDefault="001E40E0" w:rsidP="00C32414">
            <w:pPr>
              <w:pStyle w:val="Zkladntext20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874B19">
              <w:rPr>
                <w:rStyle w:val="Zkladntext28ptTun"/>
              </w:rPr>
              <w:t>Smlouvy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1361</w:t>
            </w:r>
            <w:r w:rsidRPr="004455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částečně zaplocen zahradou soukromého vlastníka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Pr="0044552D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nad svahem, není součástí komunikace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nad svahem, není součástí komunikace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4E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1412/5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se částečně nachází pod obecní cestou její krajnicí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Pr="00F001C1" w:rsidRDefault="001E40E0" w:rsidP="00C3241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1431/10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za hranou paty náspu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1431/14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Pozemek pod místní komunikací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1431/15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104/5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obhospodařovaný jako trvalý travní porost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1236/34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nesouvisí s tělesem komunikace první třídy – jedná se o vjezd do prodejního areálu soukromé společnosti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1236/35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nesouvisí s tělesem komunikace první třídy – příkop vedle místní komunikace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1236/4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nesouvisí s tělesem komunikace první třídy – jedná se o parkovitě před prodejnou soukromé společnosti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1236/5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nesouvisí s tělesem komunikace první třídy – jedná se o parkovitě před prodejnou soukromé společnosti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1236/6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nesouvisí s tělesem komunikace první třídy – zelený pruh vedle místní komunikace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1236/7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nesouvisí s tělesem komunikace první třídy – jedná se o parkovitě před prodejnou soukromé společnosti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nesouvisí s tělesem komunikace první třídy – jedná se o parkovitě před prodejnou soukromé společnosti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1255/116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nad horní hranou příkopu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1255/129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mimo těleso silnice I. třídy, za hranou příkopu místní komunikace, pravděpodobně využíváno jako trvalý travní porost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1255/130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1255/136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Parkoviště před soukromým objektem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1255/139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Zatravněný prostor za horní hranou příkopu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1255/146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Gabionová zeď u soukromého objektu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1255/147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Gabionová zeď u soukromého objektu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Příjezdová cesta k soukromému objektu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Příjezdová cesta k soukromému objektu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1255/96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Příjezdová cesta k soukromému objektu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mimo těleso silnice I. třídy – městská zeleň u místní komunikace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155/2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nad horní hranou příkopu - zeleň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nad horní hranou příkopu - zeleň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157/1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nad horní hranou příkopu – zeleň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313/3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Cínovec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Umělá vodní nádrž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1251/2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Chodník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1251/3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1251/5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452/18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částečně pod chodníkem, částečně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452/2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452/20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452/34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u Teplic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452/6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- Bystřice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392/19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- Bystřice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392/2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- Bystřice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392/25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- Bystřice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Chodník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- Bystřice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730/6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- Bystřice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730/7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– Pozorka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497/12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Rameno kruhového objezdu – součást místní komunikace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– Pozorka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497/31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– Pozorka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504/17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Prostor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 xml:space="preserve">Smlouva o převodu příslušnosti 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– Pozorka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510/10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Dubí – Pozorka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510/12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Prostor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Košťany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888/12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Koryto vodního toku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Košťany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888/15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Koryto vodního toku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2368/8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– pod mostem na terénu silnic II.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2368/9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– pod mostem zeleň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2700/1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 nesouvisející se silnicí 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2700/2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 nesouvisející se silnicí 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2700/3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 nesouvisející se silnicí 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3726/3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 nesouvisející se silnicí 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3737/41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 nesouvisející se silnicí 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3968/2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pod místní komunikací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4281/14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Chodník a sjezd k soukromému objektu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4290/6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4290/7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4311/17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4311/18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za obrubou v intravilánu obce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4315/3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související se silnicí II.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4315/7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související se silnicí II. třídy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  <w:tr w:rsidR="001E40E0" w:rsidRPr="009A6669" w:rsidTr="00C32414">
        <w:trPr>
          <w:trHeight w:hRule="exact" w:val="140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Pozemek zcela mimo těleso silnic I. třídy – zarostlý stromy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0E0" w:rsidRDefault="001E40E0" w:rsidP="00C32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552D">
              <w:rPr>
                <w:rFonts w:ascii="Arial" w:hAnsi="Arial" w:cs="Arial"/>
                <w:sz w:val="18"/>
                <w:szCs w:val="18"/>
              </w:rPr>
              <w:t>Smlouva o převodu příslušnosti</w:t>
            </w:r>
          </w:p>
        </w:tc>
      </w:tr>
    </w:tbl>
    <w:p w:rsidR="00E51019" w:rsidRDefault="00E51019">
      <w:bookmarkStart w:id="0" w:name="_GoBack"/>
      <w:bookmarkEnd w:id="0"/>
    </w:p>
    <w:sectPr w:rsidR="00E5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E0"/>
    <w:rsid w:val="001E40E0"/>
    <w:rsid w:val="00E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3F63-9FEA-4885-A79A-51B039A6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0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1E40E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Zkladntext28ptTun">
    <w:name w:val="Základní text (2) + 8 pt;Tučné"/>
    <w:basedOn w:val="Zkladntext2"/>
    <w:rsid w:val="001E40E0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E40E0"/>
    <w:pPr>
      <w:widowControl w:val="0"/>
      <w:shd w:val="clear" w:color="auto" w:fill="FFFFFF"/>
      <w:spacing w:before="180" w:after="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Ředitelství silnic a dálnic ČR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Boříková Kateřina</dc:creator>
  <cp:keywords/>
  <dc:description/>
  <cp:lastModifiedBy>Boříková Kateřina</cp:lastModifiedBy>
  <cp:revision>1</cp:revision>
  <dcterms:created xsi:type="dcterms:W3CDTF">2021-04-07T07:11:00Z</dcterms:created>
  <dcterms:modified xsi:type="dcterms:W3CDTF">2021-04-07T07:12:00Z</dcterms:modified>
</cp:coreProperties>
</file>