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6095"/>
        <w:gridCol w:w="1276"/>
        <w:gridCol w:w="706"/>
      </w:tblGrid>
      <w:tr w:rsidR="00BE6283" w:rsidRPr="008B31D4" w14:paraId="20C90A9F" w14:textId="77777777" w:rsidTr="00C77FAB">
        <w:trPr>
          <w:cantSplit/>
        </w:trPr>
        <w:tc>
          <w:tcPr>
            <w:tcW w:w="929" w:type="pct"/>
            <w:vAlign w:val="bottom"/>
          </w:tcPr>
          <w:p w14:paraId="4447B205" w14:textId="64B75BA5" w:rsidR="00BE6283" w:rsidRPr="008B31D4" w:rsidRDefault="00756D87" w:rsidP="00C77FAB">
            <w:pPr>
              <w:pStyle w:val="JRTadolevamal"/>
            </w:pPr>
            <w:r>
              <w:t>Příloha č.7</w:t>
            </w:r>
          </w:p>
        </w:tc>
        <w:tc>
          <w:tcPr>
            <w:tcW w:w="3072" w:type="pct"/>
            <w:vAlign w:val="bottom"/>
          </w:tcPr>
          <w:p w14:paraId="0D853C8A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vAlign w:val="bottom"/>
          </w:tcPr>
          <w:p w14:paraId="4B7041FD" w14:textId="77777777" w:rsidR="00BE6283" w:rsidRPr="008B31D4" w:rsidRDefault="00BE6283" w:rsidP="00C77FAB">
            <w:pPr>
              <w:pStyle w:val="JRTadolevamal"/>
            </w:pPr>
            <w:r w:rsidRPr="008B31D4">
              <w:t>Počet stran</w:t>
            </w:r>
          </w:p>
        </w:tc>
        <w:tc>
          <w:tcPr>
            <w:tcW w:w="356" w:type="pct"/>
            <w:vAlign w:val="bottom"/>
          </w:tcPr>
          <w:p w14:paraId="2CA0682B" w14:textId="77777777" w:rsidR="00BE6283" w:rsidRPr="008B31D4" w:rsidRDefault="00BE6283" w:rsidP="00C77FAB">
            <w:pPr>
              <w:pStyle w:val="JRTadolevamal"/>
            </w:pPr>
            <w:r>
              <w:t>2</w:t>
            </w:r>
          </w:p>
        </w:tc>
      </w:tr>
      <w:tr w:rsidR="00BE6283" w:rsidRPr="008B31D4" w14:paraId="32DECA4A" w14:textId="77777777" w:rsidTr="00C77FAB">
        <w:trPr>
          <w:cantSplit/>
        </w:trPr>
        <w:tc>
          <w:tcPr>
            <w:tcW w:w="929" w:type="pct"/>
          </w:tcPr>
          <w:p w14:paraId="5BA936CC" w14:textId="210C2456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</w:tcPr>
          <w:p w14:paraId="05A8236E" w14:textId="3C51969F" w:rsidR="00BE6283" w:rsidRPr="008B31D4" w:rsidRDefault="00BE6283" w:rsidP="00C77FAB">
            <w:pPr>
              <w:pStyle w:val="JRslojednac"/>
            </w:pPr>
          </w:p>
        </w:tc>
        <w:tc>
          <w:tcPr>
            <w:tcW w:w="643" w:type="pct"/>
            <w:tcBorders>
              <w:left w:val="nil"/>
            </w:tcBorders>
            <w:vAlign w:val="bottom"/>
          </w:tcPr>
          <w:p w14:paraId="1E63D4FB" w14:textId="17809E9C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vAlign w:val="bottom"/>
          </w:tcPr>
          <w:p w14:paraId="76EE667D" w14:textId="6CB5DA32" w:rsidR="00BE6283" w:rsidRPr="008B31D4" w:rsidRDefault="00BE6283" w:rsidP="00C77FAB">
            <w:pPr>
              <w:pStyle w:val="JRTadolevamal"/>
            </w:pPr>
          </w:p>
        </w:tc>
      </w:tr>
      <w:tr w:rsidR="00BE6283" w:rsidRPr="008B31D4" w14:paraId="02FA4184" w14:textId="77777777" w:rsidTr="00C77FAB">
        <w:trPr>
          <w:cantSplit/>
        </w:trPr>
        <w:tc>
          <w:tcPr>
            <w:tcW w:w="929" w:type="pct"/>
          </w:tcPr>
          <w:p w14:paraId="28033C8B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</w:tcPr>
          <w:p w14:paraId="1F367B29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tcBorders>
              <w:left w:val="nil"/>
            </w:tcBorders>
            <w:vAlign w:val="bottom"/>
          </w:tcPr>
          <w:p w14:paraId="081FA57F" w14:textId="05CB5B66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vAlign w:val="bottom"/>
          </w:tcPr>
          <w:p w14:paraId="411CA532" w14:textId="69DAB129" w:rsidR="00BE6283" w:rsidRPr="008B31D4" w:rsidRDefault="00BE6283" w:rsidP="00C77FAB">
            <w:pPr>
              <w:pStyle w:val="JRTadolevamal"/>
            </w:pPr>
          </w:p>
        </w:tc>
      </w:tr>
      <w:tr w:rsidR="00BE6283" w:rsidRPr="008B31D4" w14:paraId="42DB20B8" w14:textId="77777777" w:rsidTr="00C77FAB">
        <w:trPr>
          <w:cantSplit/>
        </w:trPr>
        <w:tc>
          <w:tcPr>
            <w:tcW w:w="929" w:type="pct"/>
            <w:tcBorders>
              <w:bottom w:val="single" w:sz="4" w:space="0" w:color="0070C0"/>
            </w:tcBorders>
          </w:tcPr>
          <w:p w14:paraId="55B009F7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  <w:tcBorders>
              <w:bottom w:val="single" w:sz="4" w:space="0" w:color="0070C0"/>
            </w:tcBorders>
          </w:tcPr>
          <w:p w14:paraId="5D7B3E98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tcBorders>
              <w:left w:val="nil"/>
              <w:bottom w:val="single" w:sz="4" w:space="0" w:color="0070C0"/>
            </w:tcBorders>
            <w:vAlign w:val="bottom"/>
          </w:tcPr>
          <w:p w14:paraId="5C1D3358" w14:textId="2E1D42A2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tcBorders>
              <w:bottom w:val="single" w:sz="4" w:space="0" w:color="0070C0"/>
            </w:tcBorders>
            <w:vAlign w:val="bottom"/>
          </w:tcPr>
          <w:p w14:paraId="6747A6E9" w14:textId="657E01F0" w:rsidR="00BE6283" w:rsidRPr="008B31D4" w:rsidRDefault="00BE6283" w:rsidP="00C77FAB">
            <w:pPr>
              <w:pStyle w:val="JRTadolevamal"/>
            </w:pPr>
          </w:p>
        </w:tc>
      </w:tr>
    </w:tbl>
    <w:p w14:paraId="6B831825" w14:textId="77777777" w:rsidR="00BE6283" w:rsidRPr="00A7682D" w:rsidRDefault="00BE6283" w:rsidP="00BE628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A7682D">
        <w:rPr>
          <w:rFonts w:ascii="Arial" w:hAnsi="Arial" w:cs="Arial"/>
          <w:b/>
          <w:bCs/>
          <w:sz w:val="28"/>
          <w:szCs w:val="28"/>
        </w:rPr>
        <w:t>KUPNÍ</w:t>
      </w:r>
      <w:r w:rsidRPr="00A7682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A7682D">
        <w:rPr>
          <w:rFonts w:ascii="Arial" w:hAnsi="Arial" w:cs="Arial"/>
          <w:b/>
          <w:bCs/>
          <w:sz w:val="28"/>
          <w:szCs w:val="28"/>
        </w:rPr>
        <w:t>SMLOUVA</w:t>
      </w:r>
    </w:p>
    <w:p w14:paraId="1F423376" w14:textId="77777777" w:rsidR="00BE6283" w:rsidRPr="001F14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20"/>
          <w:lang w:eastAsia="cs-CZ"/>
        </w:rPr>
      </w:pPr>
      <w:r w:rsidRPr="001F142D">
        <w:rPr>
          <w:rFonts w:ascii="Arial" w:eastAsia="Calibri" w:hAnsi="Arial" w:cs="Times New Roman"/>
          <w:sz w:val="20"/>
          <w:szCs w:val="20"/>
          <w:lang w:eastAsia="cs-CZ"/>
        </w:rPr>
        <w:t>uzavřená dle ustanovení § 2079 a násl. zákona č. 89/2012 Sb., občanský zákoník, ve znění pozdějších předpisů</w:t>
      </w:r>
    </w:p>
    <w:p w14:paraId="49BCFE9F" w14:textId="77777777" w:rsidR="00BE6283" w:rsidRPr="004E18B0" w:rsidRDefault="00BE6283" w:rsidP="00BE6283">
      <w:pPr>
        <w:pStyle w:val="Bezmezer"/>
        <w:jc w:val="both"/>
        <w:rPr>
          <w:rFonts w:ascii="Palatino Linotype" w:hAnsi="Palatino Linotype"/>
        </w:rPr>
      </w:pPr>
    </w:p>
    <w:p w14:paraId="728101E9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Smluvní strany, tj.</w:t>
      </w:r>
    </w:p>
    <w:p w14:paraId="5A3333EA" w14:textId="77777777" w:rsidR="00BE6283" w:rsidRPr="00A7682D" w:rsidRDefault="00BE6283" w:rsidP="00BE6283">
      <w:pPr>
        <w:pStyle w:val="JRTadoleva"/>
        <w:rPr>
          <w:szCs w:val="20"/>
        </w:rPr>
      </w:pPr>
    </w:p>
    <w:p w14:paraId="795B83FA" w14:textId="77777777" w:rsidR="00BE6283" w:rsidRPr="00A7682D" w:rsidRDefault="00BE6283" w:rsidP="00BE6283">
      <w:pPr>
        <w:pStyle w:val="JRTadoleva"/>
        <w:rPr>
          <w:b/>
          <w:szCs w:val="20"/>
        </w:rPr>
      </w:pPr>
      <w:r w:rsidRPr="00A7682D">
        <w:rPr>
          <w:b/>
          <w:szCs w:val="20"/>
        </w:rPr>
        <w:t>Ředitelství silnic a dálnic státní podnik</w:t>
      </w:r>
    </w:p>
    <w:p w14:paraId="46E30435" w14:textId="44C473B7" w:rsidR="00BE6283" w:rsidRPr="00A7682D" w:rsidRDefault="00756D87" w:rsidP="00BE6283">
      <w:pPr>
        <w:pStyle w:val="JRTadoleva"/>
        <w:rPr>
          <w:szCs w:val="20"/>
        </w:rPr>
      </w:pPr>
      <w:r>
        <w:rPr>
          <w:szCs w:val="20"/>
        </w:rPr>
        <w:t>se sídlem: Čerčanská 2023/12, Krč</w:t>
      </w:r>
      <w:r w:rsidR="00BE6283" w:rsidRPr="00A7682D">
        <w:rPr>
          <w:szCs w:val="20"/>
        </w:rPr>
        <w:t>, 145 05 Praha 4,</w:t>
      </w:r>
    </w:p>
    <w:p w14:paraId="0E253ECC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IČO: 65993390, </w:t>
      </w:r>
    </w:p>
    <w:p w14:paraId="45E6CDE8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DIČ: CZ65993390,</w:t>
      </w:r>
    </w:p>
    <w:p w14:paraId="42762728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zapsaný v obchodním rejstříku pod sp. zn.: A 80478 vedenou u Městského soudu v Praze</w:t>
      </w:r>
    </w:p>
    <w:p w14:paraId="49C8F642" w14:textId="63541063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ban</w:t>
      </w:r>
      <w:r w:rsidR="00AD4D82">
        <w:rPr>
          <w:szCs w:val="20"/>
        </w:rPr>
        <w:t xml:space="preserve">kovní spojení: </w:t>
      </w:r>
      <w:r w:rsidR="00AD4D82">
        <w:rPr>
          <w:szCs w:val="20"/>
        </w:rPr>
        <w:tab/>
        <w:t xml:space="preserve">ČNB, č. ú. </w:t>
      </w:r>
      <w:r w:rsidR="00594F32">
        <w:rPr>
          <w:szCs w:val="20"/>
        </w:rPr>
        <w:t>1</w:t>
      </w:r>
      <w:r w:rsidR="00AD4D82">
        <w:rPr>
          <w:szCs w:val="20"/>
        </w:rPr>
        <w:t>000</w:t>
      </w:r>
      <w:r w:rsidR="00594F32">
        <w:rPr>
          <w:szCs w:val="20"/>
        </w:rPr>
        <w:t>6</w:t>
      </w:r>
      <w:r w:rsidRPr="00A7682D">
        <w:rPr>
          <w:szCs w:val="20"/>
        </w:rPr>
        <w:t>-15937031/0710</w:t>
      </w:r>
    </w:p>
    <w:p w14:paraId="3D9C1BD1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zastoupen</w:t>
      </w:r>
      <w:r>
        <w:rPr>
          <w:szCs w:val="20"/>
        </w:rPr>
        <w:t>ý</w:t>
      </w:r>
      <w:r w:rsidRPr="00A7682D">
        <w:rPr>
          <w:szCs w:val="20"/>
        </w:rPr>
        <w:t>: Ing. Matoušem Vydrou, ekonomickým ředitelem</w:t>
      </w:r>
    </w:p>
    <w:p w14:paraId="28E3F299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(dále jen: „</w:t>
      </w:r>
      <w:r w:rsidRPr="00A7682D">
        <w:rPr>
          <w:b/>
          <w:szCs w:val="20"/>
        </w:rPr>
        <w:t>prodávající</w:t>
      </w:r>
      <w:r w:rsidRPr="00A7682D">
        <w:rPr>
          <w:szCs w:val="20"/>
        </w:rPr>
        <w:t>“)</w:t>
      </w:r>
    </w:p>
    <w:p w14:paraId="4BDEB0F9" w14:textId="77777777" w:rsidR="00BE6283" w:rsidRPr="00A7682D" w:rsidRDefault="00BE6283" w:rsidP="00BE6283">
      <w:pPr>
        <w:pStyle w:val="JRTadoleva"/>
        <w:rPr>
          <w:szCs w:val="20"/>
        </w:rPr>
      </w:pPr>
    </w:p>
    <w:p w14:paraId="39380EAF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a</w:t>
      </w:r>
    </w:p>
    <w:p w14:paraId="36981B54" w14:textId="77777777" w:rsidR="00BE6283" w:rsidRPr="00A7682D" w:rsidRDefault="00BE6283" w:rsidP="00BE6283">
      <w:pPr>
        <w:pStyle w:val="JRTadoleva"/>
        <w:rPr>
          <w:szCs w:val="20"/>
        </w:rPr>
      </w:pPr>
    </w:p>
    <w:p w14:paraId="045D317F" w14:textId="77777777" w:rsidR="00BE6283" w:rsidRPr="00A7682D" w:rsidRDefault="00BE6283" w:rsidP="00BE6283">
      <w:pPr>
        <w:pStyle w:val="JRTadoleva"/>
        <w:rPr>
          <w:color w:val="FF0000"/>
          <w:szCs w:val="20"/>
        </w:rPr>
      </w:pPr>
      <w:r w:rsidRPr="00A7682D">
        <w:rPr>
          <w:color w:val="FF0000"/>
          <w:szCs w:val="20"/>
        </w:rPr>
        <w:t>DOPLNIT</w:t>
      </w:r>
    </w:p>
    <w:p w14:paraId="06408FA9" w14:textId="77777777" w:rsidR="00BE6283" w:rsidRDefault="00BE6283" w:rsidP="00BE6283">
      <w:pPr>
        <w:pStyle w:val="JRTadoleva"/>
      </w:pPr>
    </w:p>
    <w:p w14:paraId="75D3F48C" w14:textId="77777777" w:rsidR="00BE6283" w:rsidRDefault="00BE6283" w:rsidP="00BE6283">
      <w:pPr>
        <w:pStyle w:val="JRTadoleva"/>
      </w:pPr>
    </w:p>
    <w:p w14:paraId="5F599ADD" w14:textId="77777777" w:rsidR="00BE6283" w:rsidRDefault="00BE6283" w:rsidP="00BE6283">
      <w:pPr>
        <w:pStyle w:val="JRTadoleva"/>
      </w:pPr>
      <w:r>
        <w:t xml:space="preserve"> </w:t>
      </w:r>
    </w:p>
    <w:p w14:paraId="0B9701C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jako „Kupující“ na straně druhé</w:t>
      </w:r>
    </w:p>
    <w:p w14:paraId="3B2CF66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F6B573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Prodávající a Kupující dále také společně jako „Smluvní strany“ a každý samostatně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br/>
        <w:t>jako „Smluvní strana“</w:t>
      </w:r>
    </w:p>
    <w:p w14:paraId="019BCE4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51462B6D" w14:textId="6A21C2E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uzavírají níže uvedeného dne, měsíce a roku</w:t>
      </w:r>
      <w:bookmarkStart w:id="0" w:name="_Hlk142631245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, </w:t>
      </w:r>
      <w:bookmarkEnd w:id="0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tuto kupní smlouvu o koupi </w:t>
      </w:r>
      <w:r w:rsidR="00AD4D82" w:rsidRPr="0003424C">
        <w:rPr>
          <w:rFonts w:ascii="Arial" w:eastAsia="Calibri" w:hAnsi="Arial" w:cs="Times New Roman"/>
          <w:sz w:val="20"/>
          <w:szCs w:val="17"/>
          <w:lang w:eastAsia="cs-CZ"/>
        </w:rPr>
        <w:t>zabezpečovacího přívěsu</w:t>
      </w:r>
      <w:r w:rsidRPr="0003424C">
        <w:rPr>
          <w:rFonts w:ascii="Arial" w:eastAsia="Calibri" w:hAnsi="Arial" w:cs="Times New Roman"/>
          <w:sz w:val="20"/>
          <w:szCs w:val="17"/>
          <w:lang w:eastAsia="cs-CZ"/>
        </w:rPr>
        <w:t xml:space="preserve">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(dále jen „Smlouva“)</w:t>
      </w:r>
    </w:p>
    <w:p w14:paraId="0BFCCB12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C0721A4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I.</w:t>
      </w:r>
    </w:p>
    <w:p w14:paraId="38A281F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Úvodní ustanovení</w:t>
      </w:r>
    </w:p>
    <w:p w14:paraId="4D5FF402" w14:textId="13C79D93" w:rsidR="00BE6283" w:rsidRPr="00A7682D" w:rsidRDefault="00BE6283" w:rsidP="00BE6283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Prodávající prohlašuje a svým podpisem této Smlouvy stvrzuje, že </w:t>
      </w:r>
      <w:r>
        <w:rPr>
          <w:rFonts w:ascii="Arial" w:eastAsia="Calibri" w:hAnsi="Arial" w:cs="Times New Roman"/>
          <w:sz w:val="20"/>
          <w:szCs w:val="17"/>
          <w:lang w:eastAsia="cs-CZ"/>
        </w:rPr>
        <w:t>s</w:t>
      </w:r>
      <w:r w:rsidR="0003424C">
        <w:rPr>
          <w:rFonts w:ascii="Arial" w:eastAsia="Calibri" w:hAnsi="Arial" w:cs="Times New Roman"/>
          <w:sz w:val="20"/>
          <w:szCs w:val="17"/>
          <w:lang w:eastAsia="cs-CZ"/>
        </w:rPr>
        <w:t>e</w:t>
      </w:r>
      <w:r w:rsidR="00AD4D82">
        <w:rPr>
          <w:rFonts w:ascii="Arial" w:eastAsia="Calibri" w:hAnsi="Arial" w:cs="Times New Roman"/>
          <w:sz w:val="20"/>
          <w:szCs w:val="17"/>
          <w:lang w:eastAsia="cs-CZ"/>
        </w:rPr>
        <w:t> zabezpečovacím přívěsem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, blíže specifikovaný v článku II. této Smlouvy,</w:t>
      </w:r>
      <w:r>
        <w:rPr>
          <w:rFonts w:ascii="Arial" w:eastAsia="Calibri" w:hAnsi="Arial" w:cs="Times New Roman"/>
          <w:sz w:val="20"/>
          <w:szCs w:val="17"/>
          <w:lang w:eastAsia="cs-CZ"/>
        </w:rPr>
        <w:t xml:space="preserve"> má právo hospodařit ve smyslu ustanovení § 2 odst. 2 zákona č. 77/1997 Sb., o státním podniku, ve znění pozdějších předpisů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, a že na něm neváznou žádná práva a pohledávky třetích osob. Dále</w:t>
      </w:r>
      <w:r w:rsidR="0003424C">
        <w:rPr>
          <w:rFonts w:ascii="Arial" w:eastAsia="Calibri" w:hAnsi="Arial" w:cs="Times New Roman"/>
          <w:sz w:val="20"/>
          <w:szCs w:val="17"/>
          <w:lang w:eastAsia="cs-CZ"/>
        </w:rPr>
        <w:t xml:space="preserve"> prohlašuje, že zabezpečovací přívěs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není odcizený, není použitý jako zástava, není předmětem exekuce a nejsou mu známy žádné okolnosti, které by brá</w:t>
      </w:r>
      <w:r w:rsidR="00AD4D82">
        <w:rPr>
          <w:rFonts w:ascii="Arial" w:eastAsia="Calibri" w:hAnsi="Arial" w:cs="Times New Roman"/>
          <w:sz w:val="20"/>
          <w:szCs w:val="17"/>
          <w:lang w:eastAsia="cs-CZ"/>
        </w:rPr>
        <w:t>nily prodeji zabezpečovacího přívěsu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7520DB6C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88EB141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II.</w:t>
      </w:r>
    </w:p>
    <w:p w14:paraId="6532B73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Předmět Smlouvy</w:t>
      </w:r>
    </w:p>
    <w:p w14:paraId="65AAD5EC" w14:textId="42FF4AF7" w:rsidR="00BE6283" w:rsidRPr="00A7682D" w:rsidRDefault="00BE6283" w:rsidP="00BE6283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Předmětem této Smlouvy j</w:t>
      </w:r>
      <w:r w:rsidR="00AD4D82">
        <w:rPr>
          <w:rFonts w:ascii="Arial" w:eastAsia="Calibri" w:hAnsi="Arial" w:cs="Times New Roman"/>
          <w:sz w:val="20"/>
          <w:szCs w:val="17"/>
          <w:lang w:eastAsia="cs-CZ"/>
        </w:rPr>
        <w:t>e níže uvedené silničn</w:t>
      </w:r>
      <w:r w:rsidR="00BD7287">
        <w:rPr>
          <w:rFonts w:ascii="Arial" w:eastAsia="Calibri" w:hAnsi="Arial" w:cs="Times New Roman"/>
          <w:sz w:val="20"/>
          <w:szCs w:val="17"/>
          <w:lang w:eastAsia="cs-CZ"/>
        </w:rPr>
        <w:t>í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vozidlo:</w:t>
      </w:r>
    </w:p>
    <w:p w14:paraId="65DDB9FD" w14:textId="0A7E7221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tovární značka: </w:t>
      </w:r>
      <w:r w:rsidR="00F771F3">
        <w:rPr>
          <w:b/>
          <w:bCs/>
        </w:rPr>
        <w:t>ZSP 1.1. TRIANGL</w:t>
      </w:r>
      <w:r w:rsidR="00BD7287">
        <w:rPr>
          <w:b/>
          <w:bCs/>
        </w:rPr>
        <w:t xml:space="preserve"> </w:t>
      </w:r>
    </w:p>
    <w:p w14:paraId="06351766" w14:textId="49514FC5" w:rsidR="00BE6283" w:rsidRPr="00BD7287" w:rsidRDefault="00BE6283" w:rsidP="00BD7287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typ (označení): </w:t>
      </w:r>
    </w:p>
    <w:p w14:paraId="3DCF5A87" w14:textId="6AD25E2E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VIN</w:t>
      </w:r>
      <w:r w:rsidR="00AD4D82">
        <w:rPr>
          <w:rFonts w:ascii="Arial" w:eastAsia="Calibri" w:hAnsi="Arial" w:cs="Times New Roman"/>
          <w:sz w:val="20"/>
          <w:szCs w:val="17"/>
          <w:lang w:eastAsia="cs-CZ"/>
        </w:rPr>
        <w:t xml:space="preserve">: </w:t>
      </w:r>
      <w:r w:rsidR="002F2A4F">
        <w:rPr>
          <w:rFonts w:eastAsia="Times New Roman"/>
          <w:b/>
          <w:bCs/>
        </w:rPr>
        <w:t>T</w:t>
      </w:r>
      <w:r w:rsidR="005F6E6F">
        <w:rPr>
          <w:rFonts w:eastAsia="Times New Roman"/>
          <w:b/>
          <w:bCs/>
        </w:rPr>
        <w:t>K</w:t>
      </w:r>
      <w:r w:rsidR="00D31A5F">
        <w:rPr>
          <w:rFonts w:eastAsia="Times New Roman"/>
          <w:b/>
          <w:bCs/>
        </w:rPr>
        <w:t>9ZSPT1120HH1045</w:t>
      </w:r>
    </w:p>
    <w:p w14:paraId="56D0C8E7" w14:textId="4184B792" w:rsidR="00BE6283" w:rsidRPr="00A7682D" w:rsidRDefault="00AD4D82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B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>arva</w:t>
      </w:r>
      <w:r>
        <w:rPr>
          <w:rFonts w:ascii="Arial" w:eastAsia="Calibri" w:hAnsi="Arial" w:cs="Times New Roman"/>
          <w:sz w:val="20"/>
          <w:szCs w:val="17"/>
          <w:lang w:eastAsia="cs-CZ"/>
        </w:rPr>
        <w:t xml:space="preserve">: </w:t>
      </w:r>
      <w:r w:rsidR="00373064">
        <w:rPr>
          <w:rFonts w:ascii="Arial" w:eastAsia="Calibri" w:hAnsi="Arial" w:cs="Times New Roman"/>
          <w:sz w:val="20"/>
          <w:szCs w:val="17"/>
          <w:lang w:eastAsia="cs-CZ"/>
        </w:rPr>
        <w:t>Šedá</w:t>
      </w:r>
    </w:p>
    <w:p w14:paraId="22B83A49" w14:textId="0E89B343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RZ: </w:t>
      </w:r>
      <w:r w:rsidR="00DB58B2">
        <w:rPr>
          <w:b/>
          <w:bCs/>
        </w:rPr>
        <w:t>1A5 1289</w:t>
      </w:r>
    </w:p>
    <w:p w14:paraId="10A0B95F" w14:textId="43097733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stav najetých kilometrů dle</w:t>
      </w:r>
      <w:r w:rsidR="00AD4D82">
        <w:rPr>
          <w:rFonts w:ascii="Arial" w:eastAsia="Calibri" w:hAnsi="Arial" w:cs="Times New Roman"/>
          <w:sz w:val="20"/>
          <w:szCs w:val="17"/>
          <w:lang w:eastAsia="cs-CZ"/>
        </w:rPr>
        <w:t xml:space="preserve"> počítadla stavu km: nezjištěno</w:t>
      </w:r>
    </w:p>
    <w:p w14:paraId="00F4237E" w14:textId="1FAD7294" w:rsidR="00BE6283" w:rsidRPr="00A7682D" w:rsidRDefault="00AD4D82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viditelná poškození:</w:t>
      </w:r>
      <w:r w:rsidR="0003424C">
        <w:rPr>
          <w:rFonts w:ascii="Arial" w:eastAsia="Calibri" w:hAnsi="Arial" w:cs="Times New Roman"/>
          <w:sz w:val="20"/>
          <w:szCs w:val="17"/>
          <w:lang w:eastAsia="cs-CZ"/>
        </w:rPr>
        <w:t xml:space="preserve"> </w:t>
      </w:r>
      <w:r w:rsidR="002F2A4F">
        <w:rPr>
          <w:rFonts w:ascii="Arial" w:eastAsia="Calibri" w:hAnsi="Arial" w:cs="Times New Roman"/>
          <w:sz w:val="20"/>
          <w:szCs w:val="17"/>
          <w:lang w:eastAsia="cs-CZ"/>
        </w:rPr>
        <w:t>silná</w:t>
      </w:r>
      <w:r w:rsidR="0003424C">
        <w:rPr>
          <w:rFonts w:ascii="Arial" w:eastAsia="Calibri" w:hAnsi="Arial" w:cs="Times New Roman"/>
          <w:sz w:val="20"/>
          <w:szCs w:val="17"/>
          <w:lang w:eastAsia="cs-CZ"/>
        </w:rPr>
        <w:t xml:space="preserve"> koroze</w:t>
      </w:r>
      <w:r w:rsidR="003D362B">
        <w:rPr>
          <w:rFonts w:ascii="Arial" w:eastAsia="Calibri" w:hAnsi="Arial" w:cs="Times New Roman"/>
          <w:sz w:val="20"/>
          <w:szCs w:val="17"/>
          <w:lang w:eastAsia="cs-CZ"/>
        </w:rPr>
        <w:t>,</w:t>
      </w:r>
      <w:r w:rsidR="003D362B" w:rsidRPr="003D362B">
        <w:t xml:space="preserve"> </w:t>
      </w:r>
      <w:r w:rsidR="00BD7287">
        <w:rPr>
          <w:sz w:val="20"/>
          <w:szCs w:val="20"/>
        </w:rPr>
        <w:t xml:space="preserve">bez akumulátoru, nepojízdné, </w:t>
      </w:r>
      <w:r w:rsidR="002F2A4F">
        <w:rPr>
          <w:sz w:val="20"/>
          <w:szCs w:val="20"/>
        </w:rPr>
        <w:t>vadné brzdy</w:t>
      </w:r>
      <w:r w:rsidR="00BD7287">
        <w:rPr>
          <w:sz w:val="20"/>
          <w:szCs w:val="20"/>
        </w:rPr>
        <w:t xml:space="preserve">, </w:t>
      </w:r>
      <w:r w:rsidR="002F2A4F">
        <w:rPr>
          <w:sz w:val="20"/>
          <w:szCs w:val="20"/>
        </w:rPr>
        <w:t xml:space="preserve">netěsnosti hydraulického systému, nadměrné netěsnosti motoru, </w:t>
      </w:r>
      <w:r w:rsidR="00BD7287">
        <w:rPr>
          <w:sz w:val="20"/>
          <w:szCs w:val="20"/>
        </w:rPr>
        <w:t>dlouhodobě odstaveno</w:t>
      </w:r>
      <w:r w:rsidR="002F2A4F">
        <w:rPr>
          <w:sz w:val="20"/>
          <w:szCs w:val="20"/>
        </w:rPr>
        <w:t>, nelze nastartovat</w:t>
      </w:r>
    </w:p>
    <w:p w14:paraId="3102522B" w14:textId="14B38BD8" w:rsidR="00BE6283" w:rsidRPr="00A7682D" w:rsidRDefault="001B72B1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(dále jen „</w:t>
      </w:r>
      <w:r w:rsidR="00BD7287">
        <w:rPr>
          <w:rFonts w:ascii="Arial" w:eastAsia="Calibri" w:hAnsi="Arial" w:cs="Times New Roman"/>
          <w:sz w:val="20"/>
          <w:szCs w:val="17"/>
          <w:lang w:eastAsia="cs-CZ"/>
        </w:rPr>
        <w:t>vozidlo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>“)</w:t>
      </w:r>
    </w:p>
    <w:p w14:paraId="41171AB5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E6863FD" w14:textId="16552CCE" w:rsidR="00BE6283" w:rsidRPr="001B72B1" w:rsidRDefault="00BE6283" w:rsidP="00BE6283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1B72B1">
        <w:rPr>
          <w:rFonts w:ascii="Arial" w:eastAsia="Calibri" w:hAnsi="Arial" w:cs="Times New Roman"/>
          <w:sz w:val="20"/>
          <w:szCs w:val="17"/>
          <w:lang w:eastAsia="cs-CZ"/>
        </w:rPr>
        <w:t>Prodávající prohlašuje, že stav</w:t>
      </w:r>
      <w:r w:rsidR="0003424C" w:rsidRPr="001B72B1">
        <w:rPr>
          <w:rFonts w:ascii="Arial" w:eastAsia="Calibri" w:hAnsi="Arial" w:cs="Times New Roman"/>
          <w:sz w:val="20"/>
          <w:szCs w:val="17"/>
          <w:lang w:eastAsia="cs-CZ"/>
        </w:rPr>
        <w:t xml:space="preserve"> </w:t>
      </w:r>
      <w:r w:rsidR="002F2A4F">
        <w:rPr>
          <w:rFonts w:ascii="Arial" w:eastAsia="Calibri" w:hAnsi="Arial" w:cs="Times New Roman"/>
          <w:sz w:val="20"/>
          <w:szCs w:val="17"/>
          <w:lang w:eastAsia="cs-CZ"/>
        </w:rPr>
        <w:t>vozidla</w:t>
      </w:r>
      <w:r w:rsidR="0003424C" w:rsidRPr="001B72B1">
        <w:rPr>
          <w:rFonts w:ascii="Arial" w:eastAsia="Calibri" w:hAnsi="Arial" w:cs="Times New Roman"/>
          <w:sz w:val="20"/>
          <w:szCs w:val="17"/>
          <w:lang w:eastAsia="cs-CZ"/>
        </w:rPr>
        <w:t xml:space="preserve"> odpovídá jeho stáří</w:t>
      </w:r>
      <w:r w:rsidRPr="001B72B1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75D0B4FA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5C6BA16" w14:textId="77777777" w:rsidR="002E0922" w:rsidRDefault="002E0922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</w:p>
    <w:p w14:paraId="62BBD361" w14:textId="5BC593DF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III.</w:t>
      </w:r>
    </w:p>
    <w:p w14:paraId="5AA9141E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Kupní cena</w:t>
      </w:r>
    </w:p>
    <w:p w14:paraId="2375A19C" w14:textId="3CBD8DC6" w:rsidR="00BE6283" w:rsidRPr="00A7682D" w:rsidRDefault="00BD7287" w:rsidP="00BE6283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Vozidlo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prodává Prodávající Kupujícímu se všemi součástmi a příslušenstvím 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br/>
        <w:t>za sjednanou celkovou kupní cenu ve výši</w:t>
      </w:r>
      <w:r w:rsidR="00BE6283">
        <w:rPr>
          <w:rFonts w:ascii="Arial" w:eastAsia="Calibri" w:hAnsi="Arial" w:cs="Times New Roman"/>
          <w:sz w:val="20"/>
          <w:szCs w:val="17"/>
          <w:lang w:eastAsia="cs-CZ"/>
        </w:rPr>
        <w:t>…………</w:t>
      </w:r>
      <w:r w:rsidR="003D362B">
        <w:rPr>
          <w:rFonts w:ascii="Arial" w:eastAsia="Calibri" w:hAnsi="Arial" w:cs="Times New Roman"/>
          <w:sz w:val="20"/>
          <w:szCs w:val="17"/>
          <w:lang w:eastAsia="cs-CZ"/>
        </w:rPr>
        <w:t>……….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>,- Kč (slovy) .</w:t>
      </w:r>
    </w:p>
    <w:p w14:paraId="72C5A7EC" w14:textId="77777777" w:rsidR="00BE6283" w:rsidRPr="00A7682D" w:rsidRDefault="00BE6283" w:rsidP="00BE6283">
      <w:pPr>
        <w:pStyle w:val="Bezmezer"/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3C8092A" w14:textId="77777777" w:rsidR="00BE6283" w:rsidRPr="00A7682D" w:rsidRDefault="00BE6283" w:rsidP="00BE6283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Kupní cena byla zaplacena v plné výši na účet Prodávajícího, uvedený v záhlaví této Smlouvy, před podpisem této Smlouvy, což Smluvní strany osvědčují svými níže připojenými podpisy.</w:t>
      </w:r>
    </w:p>
    <w:p w14:paraId="4C14509F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265BEBA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IV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5452ACAD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Ostatní ujednání</w:t>
      </w:r>
    </w:p>
    <w:p w14:paraId="02B75127" w14:textId="13AA3932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Kupující je srozuměn se skutečností, že kupuje věc již užívanou a prohlašuje, že se podrobně a pečlivě seznámil s techn</w:t>
      </w:r>
      <w:r w:rsidR="0003424C">
        <w:rPr>
          <w:rFonts w:ascii="Arial" w:eastAsia="Calibri" w:hAnsi="Arial" w:cs="Times New Roman"/>
          <w:sz w:val="20"/>
          <w:szCs w:val="17"/>
          <w:lang w:eastAsia="cs-CZ"/>
        </w:rPr>
        <w:t xml:space="preserve">ickým stavem </w:t>
      </w:r>
      <w:r w:rsidR="00BD7287">
        <w:rPr>
          <w:rFonts w:ascii="Arial" w:eastAsia="Calibri" w:hAnsi="Arial" w:cs="Times New Roman"/>
          <w:sz w:val="20"/>
          <w:szCs w:val="17"/>
          <w:lang w:eastAsia="cs-CZ"/>
        </w:rPr>
        <w:t>vozidla a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jeho obsluhou</w:t>
      </w:r>
      <w:r w:rsidR="00BD7287">
        <w:rPr>
          <w:rFonts w:ascii="Arial" w:eastAsia="Calibri" w:hAnsi="Arial" w:cs="Times New Roman"/>
          <w:sz w:val="20"/>
          <w:szCs w:val="17"/>
          <w:lang w:eastAsia="cs-CZ"/>
        </w:rPr>
        <w:t>.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. </w:t>
      </w:r>
    </w:p>
    <w:p w14:paraId="4DB0F2A6" w14:textId="77777777" w:rsidR="00BE6283" w:rsidRPr="00A7682D" w:rsidRDefault="00BE6283" w:rsidP="00BE6283">
      <w:pPr>
        <w:pStyle w:val="Bezmezer"/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859ADF7" w14:textId="77777777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 podpisu této Smlouvy Prodávající předává Kupujícímu:</w:t>
      </w:r>
    </w:p>
    <w:p w14:paraId="79AB1C8F" w14:textId="44D3DE6F" w:rsidR="00847B97" w:rsidRPr="00847B97" w:rsidRDefault="00BD7287" w:rsidP="00BE6283">
      <w:pPr>
        <w:pStyle w:val="Bezmezer"/>
        <w:numPr>
          <w:ilvl w:val="0"/>
          <w:numId w:val="5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 xml:space="preserve">1x </w:t>
      </w:r>
      <w:r w:rsidR="00532C65">
        <w:rPr>
          <w:rFonts w:ascii="Arial" w:eastAsia="Calibri" w:hAnsi="Arial" w:cs="Times New Roman"/>
          <w:sz w:val="20"/>
          <w:szCs w:val="17"/>
          <w:lang w:eastAsia="cs-CZ"/>
        </w:rPr>
        <w:t>Návod k obsluze a technické podmínky</w:t>
      </w:r>
    </w:p>
    <w:p w14:paraId="4D275F51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A80977D" w14:textId="3D2EA22A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Smluvní strany se zavazují poskytnout si veškerou nezbytnou součinnosti potřebnou k provedení změn v evidenci držitelů motorových vozidel (odhlášení vozid</w:t>
      </w:r>
      <w:r w:rsidR="0003424C">
        <w:rPr>
          <w:rFonts w:ascii="Arial" w:eastAsia="Calibri" w:hAnsi="Arial" w:cs="Times New Roman"/>
          <w:sz w:val="20"/>
          <w:szCs w:val="17"/>
          <w:lang w:eastAsia="cs-CZ"/>
        </w:rPr>
        <w:t>la a přihlášení na Kupujícího) zejména pak vystavení plné moci Prodávajícímu k potřebné změně vlastníka. Náklady na vystavení plné moci nese Kupující.</w:t>
      </w:r>
      <w:r w:rsidR="002E0922">
        <w:rPr>
          <w:rFonts w:ascii="Arial" w:eastAsia="Calibri" w:hAnsi="Arial" w:cs="Times New Roman"/>
          <w:sz w:val="20"/>
          <w:szCs w:val="17"/>
          <w:lang w:eastAsia="cs-CZ"/>
        </w:rPr>
        <w:t xml:space="preserve"> Náklady na provedení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změn</w:t>
      </w:r>
      <w:r w:rsidR="002E0922">
        <w:rPr>
          <w:rFonts w:ascii="Arial" w:eastAsia="Calibri" w:hAnsi="Arial" w:cs="Times New Roman"/>
          <w:sz w:val="20"/>
          <w:szCs w:val="17"/>
          <w:lang w:eastAsia="cs-CZ"/>
        </w:rPr>
        <w:t xml:space="preserve"> v registru vozidel nese Prodávající a je zahrnuta v kupní ceně přívěsu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32409A49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36BB05E" w14:textId="7348DC69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Kupující bere na vědomí, že Prodávající bezprostředně po podpisu Smlouvy zruší pojištění odpovědnosti za škodu způsobenou provozem</w:t>
      </w:r>
      <w:r w:rsidR="001B72B1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 xml:space="preserve"> </w:t>
      </w:r>
      <w:r w:rsidR="001B72B1" w:rsidRPr="001B72B1">
        <w:rPr>
          <w:rFonts w:ascii="Arial" w:eastAsia="Calibri" w:hAnsi="Arial" w:cs="Times New Roman"/>
          <w:sz w:val="20"/>
          <w:szCs w:val="17"/>
          <w:lang w:eastAsia="cs-CZ"/>
        </w:rPr>
        <w:t>přípojného</w:t>
      </w:r>
      <w:r w:rsidRPr="001B72B1">
        <w:rPr>
          <w:rFonts w:ascii="Arial" w:eastAsia="Calibri" w:hAnsi="Arial" w:cs="Times New Roman"/>
          <w:sz w:val="20"/>
          <w:szCs w:val="17"/>
          <w:lang w:eastAsia="cs-CZ"/>
        </w:rPr>
        <w:t xml:space="preserve"> vozidla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a Kupující je tedy povinen bezodkladně vozidlo pojistit, nejpozději do třech (3) pracovních dnů.</w:t>
      </w:r>
    </w:p>
    <w:p w14:paraId="0559FBCA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681D2EC0" w14:textId="77777777" w:rsidR="00BE6283" w:rsidRPr="00381859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V.</w:t>
      </w:r>
    </w:p>
    <w:p w14:paraId="429768B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Závěrečná ustanovení</w:t>
      </w:r>
    </w:p>
    <w:p w14:paraId="4598528D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 xml:space="preserve">Tato smlouva nabývá platnosti a účinnosti dnem připojení podpisu poslední smluvní stranou, nevyžaduje-li zákon č. 340/2015 Sb. o registru smluv, v platném znění (dále jen „zákon o registru smluv“), pro její účinnost uveřejnění v registru smluv. V takovém případě uveřejnění této smlouvy jakož i anonymizaci osobních údajů a dalších ustanovení, která uveřejnění v registru smluv nepodléhají, zajistí </w:t>
      </w:r>
      <w:r>
        <w:rPr>
          <w:rFonts w:ascii="Arial" w:eastAsia="Calibri" w:hAnsi="Arial" w:cs="Times New Roman"/>
          <w:sz w:val="20"/>
          <w:szCs w:val="17"/>
          <w:lang w:eastAsia="cs-CZ"/>
        </w:rPr>
        <w:t>prodáva</w:t>
      </w:r>
      <w:r w:rsidRPr="00381859">
        <w:rPr>
          <w:rFonts w:ascii="Arial" w:eastAsia="Calibri" w:hAnsi="Arial" w:cs="Times New Roman"/>
          <w:sz w:val="20"/>
          <w:szCs w:val="17"/>
          <w:lang w:eastAsia="cs-CZ"/>
        </w:rPr>
        <w:t>jící. Smluvní strany se zavazují, že při uzavření smlouvy si vzájemně písemně odsouhlasí rozsah anonymizace smlouvy v souladu se zákonem o registru smluv.</w:t>
      </w:r>
    </w:p>
    <w:p w14:paraId="7FA3B58C" w14:textId="77777777" w:rsidR="00BE6283" w:rsidRPr="00381859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78C341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>Ustanovení neupravená touto Smlouvou se řídí platnými právními předpisy České republiky, zejména zákonem č. 89/2012 Sb., občanský zákoník, ve znění pozdějších předpisů.</w:t>
      </w:r>
    </w:p>
    <w:p w14:paraId="21E77725" w14:textId="77777777" w:rsidR="00BE6283" w:rsidRPr="00381859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7D29ACF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Arial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>Změny a doplnění této Smlouvy jsou možné pouze na základě písemného</w:t>
      </w:r>
      <w:r w:rsidRPr="00381859">
        <w:rPr>
          <w:rFonts w:ascii="Arial" w:eastAsia="Calibri" w:hAnsi="Arial" w:cs="Arial"/>
          <w:sz w:val="20"/>
          <w:szCs w:val="17"/>
          <w:lang w:eastAsia="cs-CZ"/>
        </w:rPr>
        <w:t xml:space="preserve"> dodatku k této Smlouvě.</w:t>
      </w:r>
    </w:p>
    <w:p w14:paraId="7589E544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2D5B63" w14:textId="77777777" w:rsidR="00BE6283" w:rsidRPr="00A7682D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Tato Smlouva se uzavírá ve dvou (2) vyhotoveních s platností originálu, z nichž po jednom (1) obdrží každá Smluvní strana.</w:t>
      </w:r>
    </w:p>
    <w:p w14:paraId="5517BE34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AE8B78C" w14:textId="77777777" w:rsidR="00BE6283" w:rsidRPr="00A7682D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Smluvní strany prohlašují, že si tuto Smlouvu před podpisem přečetly, porozuměly jejímu obsahu, s obsahem souhlasí, a že je tato Smlouva projevem jejich svobodné vůle.</w:t>
      </w:r>
    </w:p>
    <w:p w14:paraId="1CD6237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5E1C6400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2353BEE" w14:textId="3617DB3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V </w:t>
      </w:r>
      <w:r>
        <w:rPr>
          <w:rFonts w:ascii="Arial" w:eastAsia="Calibri" w:hAnsi="Arial" w:cs="Times New Roman"/>
          <w:sz w:val="20"/>
          <w:szCs w:val="17"/>
          <w:lang w:eastAsia="cs-CZ"/>
        </w:rPr>
        <w:t>……</w:t>
      </w:r>
      <w:r w:rsidR="00E84F5C">
        <w:rPr>
          <w:rFonts w:ascii="Arial" w:eastAsia="Calibri" w:hAnsi="Arial" w:cs="Times New Roman"/>
          <w:sz w:val="20"/>
          <w:szCs w:val="17"/>
          <w:lang w:eastAsia="cs-CZ"/>
        </w:rPr>
        <w:t>…………….</w:t>
      </w:r>
      <w:r>
        <w:rPr>
          <w:rFonts w:ascii="Arial" w:eastAsia="Calibri" w:hAnsi="Arial" w:cs="Times New Roman"/>
          <w:sz w:val="20"/>
          <w:szCs w:val="17"/>
          <w:lang w:eastAsia="cs-CZ"/>
        </w:rPr>
        <w:t>…</w:t>
      </w:r>
      <w:r w:rsidR="00E84F5C">
        <w:rPr>
          <w:rFonts w:ascii="Arial" w:eastAsia="Calibri" w:hAnsi="Arial" w:cs="Times New Roman"/>
          <w:sz w:val="20"/>
          <w:szCs w:val="17"/>
          <w:lang w:eastAsia="cs-CZ"/>
        </w:rPr>
        <w:t xml:space="preserve"> dne ………………</w:t>
      </w:r>
    </w:p>
    <w:p w14:paraId="4F48CA77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68C0921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54715EC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320DDE6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EED67E5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4B77D89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…………………………………..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  <w:t>…………………………………..</w:t>
      </w:r>
    </w:p>
    <w:p w14:paraId="5E57A3D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za Prodávajícího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  <w:t>za Kupujícího</w:t>
      </w:r>
    </w:p>
    <w:p w14:paraId="63367734" w14:textId="10FE65BB" w:rsidR="00BE6283" w:rsidRDefault="00594F32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sym w:font="Symbol" w:char="F05B"/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>BUDE DOPLNĚNO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sym w:font="Symbol" w:char="F05D"/>
      </w:r>
    </w:p>
    <w:p w14:paraId="5A37D5A6" w14:textId="77777777" w:rsidR="00594F32" w:rsidRDefault="00BD7287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Vedoucí střediska</w:t>
      </w:r>
      <w:r w:rsidR="00594F32">
        <w:rPr>
          <w:rFonts w:ascii="Arial" w:eastAsia="Calibri" w:hAnsi="Arial" w:cs="Times New Roman"/>
          <w:sz w:val="20"/>
          <w:szCs w:val="17"/>
          <w:lang w:eastAsia="cs-CZ"/>
        </w:rPr>
        <w:t xml:space="preserve"> SSÚD 11 Nová Ves</w:t>
      </w:r>
    </w:p>
    <w:p w14:paraId="3B87F3E3" w14:textId="59AB7265" w:rsidR="00BE6283" w:rsidRPr="00A7682D" w:rsidRDefault="00594F32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Správy a údržby dálnic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ab/>
        <w:t xml:space="preserve"> </w:t>
      </w:r>
    </w:p>
    <w:p w14:paraId="5FA23421" w14:textId="76AFA323" w:rsidR="00953C0F" w:rsidRDefault="00953C0F"/>
    <w:sectPr w:rsidR="00953C0F" w:rsidSect="00BE6283">
      <w:headerReference w:type="first" r:id="rId7"/>
      <w:pgSz w:w="11906" w:h="16838" w:code="9"/>
      <w:pgMar w:top="1304" w:right="851" w:bottom="136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F9F4" w14:textId="77777777" w:rsidR="00493BDD" w:rsidRDefault="00493BDD">
      <w:pPr>
        <w:spacing w:before="0" w:after="0"/>
      </w:pPr>
      <w:r>
        <w:separator/>
      </w:r>
    </w:p>
  </w:endnote>
  <w:endnote w:type="continuationSeparator" w:id="0">
    <w:p w14:paraId="668FDDBC" w14:textId="77777777" w:rsidR="00493BDD" w:rsidRDefault="00493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0B8ED" w14:textId="77777777" w:rsidR="00493BDD" w:rsidRDefault="00493BDD">
      <w:pPr>
        <w:spacing w:before="0" w:after="0"/>
      </w:pPr>
      <w:r>
        <w:separator/>
      </w:r>
    </w:p>
  </w:footnote>
  <w:footnote w:type="continuationSeparator" w:id="0">
    <w:p w14:paraId="388AEAD2" w14:textId="77777777" w:rsidR="00493BDD" w:rsidRDefault="00493B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F8CC" w14:textId="77777777" w:rsidR="00B9796A" w:rsidRDefault="00060DB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63F3C3" wp14:editId="428B44B3">
          <wp:simplePos x="0" y="0"/>
          <wp:positionH relativeFrom="margin">
            <wp:posOffset>57150</wp:posOffset>
          </wp:positionH>
          <wp:positionV relativeFrom="paragraph">
            <wp:posOffset>35560</wp:posOffset>
          </wp:positionV>
          <wp:extent cx="1190625" cy="581025"/>
          <wp:effectExtent l="0" t="0" r="9525" b="9525"/>
          <wp:wrapNone/>
          <wp:docPr id="2063509459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509459" name="Grafický objekt 20635094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2881A0" w14:textId="77777777" w:rsidR="00B9796A" w:rsidRDefault="00B979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218"/>
    <w:multiLevelType w:val="hybridMultilevel"/>
    <w:tmpl w:val="E49E03E6"/>
    <w:lvl w:ilvl="0" w:tplc="0F8C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0273"/>
    <w:multiLevelType w:val="hybridMultilevel"/>
    <w:tmpl w:val="C934621E"/>
    <w:lvl w:ilvl="0" w:tplc="0F8C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409F"/>
    <w:multiLevelType w:val="multilevel"/>
    <w:tmpl w:val="B1A69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6D249D"/>
    <w:multiLevelType w:val="multilevel"/>
    <w:tmpl w:val="A8928D2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4" w15:restartNumberingAfterBreak="0">
    <w:nsid w:val="33854093"/>
    <w:multiLevelType w:val="multilevel"/>
    <w:tmpl w:val="F80C8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E721ED"/>
    <w:multiLevelType w:val="multilevel"/>
    <w:tmpl w:val="65C00CD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6" w15:restartNumberingAfterBreak="0">
    <w:nsid w:val="57965848"/>
    <w:multiLevelType w:val="multilevel"/>
    <w:tmpl w:val="36DAA6A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num w:numId="1" w16cid:durableId="1777795575">
    <w:abstractNumId w:val="6"/>
  </w:num>
  <w:num w:numId="2" w16cid:durableId="991567798">
    <w:abstractNumId w:val="4"/>
  </w:num>
  <w:num w:numId="3" w16cid:durableId="603075889">
    <w:abstractNumId w:val="1"/>
  </w:num>
  <w:num w:numId="4" w16cid:durableId="453982440">
    <w:abstractNumId w:val="5"/>
  </w:num>
  <w:num w:numId="5" w16cid:durableId="1749841372">
    <w:abstractNumId w:val="0"/>
  </w:num>
  <w:num w:numId="6" w16cid:durableId="580220331">
    <w:abstractNumId w:val="3"/>
  </w:num>
  <w:num w:numId="7" w16cid:durableId="488521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83"/>
    <w:rsid w:val="0003424C"/>
    <w:rsid w:val="00060DBD"/>
    <w:rsid w:val="001B72B1"/>
    <w:rsid w:val="002D034C"/>
    <w:rsid w:val="002E0922"/>
    <w:rsid w:val="002F2A4F"/>
    <w:rsid w:val="00373064"/>
    <w:rsid w:val="003D1188"/>
    <w:rsid w:val="003D362B"/>
    <w:rsid w:val="00493BDD"/>
    <w:rsid w:val="004A3CB7"/>
    <w:rsid w:val="00513BD8"/>
    <w:rsid w:val="00532C65"/>
    <w:rsid w:val="00594F32"/>
    <w:rsid w:val="005F6E6F"/>
    <w:rsid w:val="00756D87"/>
    <w:rsid w:val="00847B97"/>
    <w:rsid w:val="00941CE0"/>
    <w:rsid w:val="00953C0F"/>
    <w:rsid w:val="009A015B"/>
    <w:rsid w:val="00A61B6C"/>
    <w:rsid w:val="00AA73DF"/>
    <w:rsid w:val="00AD4D82"/>
    <w:rsid w:val="00B338C7"/>
    <w:rsid w:val="00B9796A"/>
    <w:rsid w:val="00BD7287"/>
    <w:rsid w:val="00BE6283"/>
    <w:rsid w:val="00D31A5F"/>
    <w:rsid w:val="00D5541D"/>
    <w:rsid w:val="00D57068"/>
    <w:rsid w:val="00DB58B2"/>
    <w:rsid w:val="00E84F5C"/>
    <w:rsid w:val="00EF2A24"/>
    <w:rsid w:val="00F55DCB"/>
    <w:rsid w:val="00F64D4E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3217"/>
  <w15:chartTrackingRefBased/>
  <w15:docId w15:val="{836C629A-C0EA-4EA4-9FB6-95807F7E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unhideWhenUsed/>
    <w:qFormat/>
    <w:rsid w:val="00BE6283"/>
    <w:pPr>
      <w:spacing w:before="60" w:after="80" w:line="240" w:lineRule="auto"/>
      <w:ind w:left="170"/>
    </w:pPr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62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28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628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62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62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62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62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62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62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62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6283"/>
    <w:pPr>
      <w:numPr>
        <w:ilvl w:val="1"/>
      </w:numPr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62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62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62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62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6283"/>
    <w:rPr>
      <w:b/>
      <w:bCs/>
      <w:smallCaps/>
      <w:color w:val="0F4761" w:themeColor="accent1" w:themeShade="BF"/>
      <w:spacing w:val="5"/>
    </w:rPr>
  </w:style>
  <w:style w:type="paragraph" w:customStyle="1" w:styleId="JRZpat">
    <w:name w:val="JR Zápatí"/>
    <w:rsid w:val="00BE6283"/>
    <w:pPr>
      <w:tabs>
        <w:tab w:val="center" w:pos="8460"/>
      </w:tabs>
      <w:spacing w:after="0" w:line="240" w:lineRule="auto"/>
    </w:pPr>
    <w:rPr>
      <w:rFonts w:ascii="Arial" w:eastAsia="Calibri" w:hAnsi="Arial" w:cs="Times New Roman"/>
      <w:smallCaps/>
      <w:color w:val="7F7F7F"/>
      <w:kern w:val="0"/>
      <w:sz w:val="18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E628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E6283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customStyle="1" w:styleId="JRslojednac">
    <w:name w:val="JR Číslo jednací"/>
    <w:rsid w:val="00BE6283"/>
    <w:pPr>
      <w:spacing w:after="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Tadoleva">
    <w:name w:val="JR Ta doleva"/>
    <w:link w:val="JRTadolevaChar"/>
    <w:qFormat/>
    <w:rsid w:val="00BE6283"/>
    <w:pPr>
      <w:spacing w:before="20" w:after="2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character" w:customStyle="1" w:styleId="JRTadolevaChar">
    <w:name w:val="JR Ta doleva Char"/>
    <w:basedOn w:val="Standardnpsmoodstavce"/>
    <w:link w:val="JRTadoleva"/>
    <w:rsid w:val="00BE6283"/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Tadolevamal">
    <w:name w:val="JR Ta doleva malý"/>
    <w:qFormat/>
    <w:rsid w:val="00BE6283"/>
    <w:pPr>
      <w:spacing w:before="20" w:after="20" w:line="240" w:lineRule="auto"/>
    </w:pPr>
    <w:rPr>
      <w:rFonts w:ascii="Arial" w:eastAsia="Calibri" w:hAnsi="Arial" w:cs="Times New Roman"/>
      <w:kern w:val="0"/>
      <w:sz w:val="18"/>
      <w:szCs w:val="17"/>
      <w:lang w:eastAsia="cs-CZ"/>
      <w14:ligatures w14:val="none"/>
    </w:rPr>
  </w:style>
  <w:style w:type="paragraph" w:customStyle="1" w:styleId="JRTamezera">
    <w:name w:val="JR Ta mezera"/>
    <w:basedOn w:val="JRTadoleva"/>
    <w:qFormat/>
    <w:rsid w:val="00BE6283"/>
    <w:rPr>
      <w:rFonts w:eastAsiaTheme="minorHAnsi" w:cs="Arial"/>
      <w:color w:val="FFFFFF" w:themeColor="background1"/>
      <w:sz w:val="8"/>
      <w:lang w:eastAsia="en-US"/>
    </w:rPr>
  </w:style>
  <w:style w:type="paragraph" w:styleId="Bezmezer">
    <w:name w:val="No Spacing"/>
    <w:aliases w:val="Uzavřená dle_pod smlouvou,Údaje smluvního partnera"/>
    <w:uiPriority w:val="1"/>
    <w:qFormat/>
    <w:rsid w:val="00BE6283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84F5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84F5C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F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F5C"/>
    <w:rPr>
      <w:rFonts w:ascii="Segoe UI" w:eastAsia="Calibri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3826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 CR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Pitourová Markéta</dc:creator>
  <cp:keywords/>
  <dc:description/>
  <cp:lastModifiedBy>Skokanová Lenka</cp:lastModifiedBy>
  <cp:revision>2</cp:revision>
  <cp:lastPrinted>2024-09-17T11:59:00Z</cp:lastPrinted>
  <dcterms:created xsi:type="dcterms:W3CDTF">2025-01-21T09:41:00Z</dcterms:created>
  <dcterms:modified xsi:type="dcterms:W3CDTF">2025-01-21T09:41:00Z</dcterms:modified>
</cp:coreProperties>
</file>