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1B4BC6"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493105" name=""/>
                    <pic:cNvPicPr>
                      <a:picLocks noChangeAspect="1"/>
                    </pic:cNvPicPr>
                  </pic:nvPicPr>
                  <pic:blipFill>
                    <a:blip r:embed="rId7"/>
                    <a:stretch>
                      <a:fillRect/>
                    </a:stretch>
                  </pic:blipFill>
                  <pic:spPr>
                    <a:xfrm>
                      <a:off x="0" y="0"/>
                      <a:ext cx="3253740" cy="306705"/>
                    </a:xfrm>
                    <a:prstGeom prst="rect">
                      <a:avLst/>
                    </a:prstGeom>
                  </pic:spPr>
                </pic:pic>
              </a:graphicData>
            </a:graphic>
          </wp:inline>
        </w:drawing>
      </w:r>
    </w:p>
    <w:p w:rsidR="007A662F" w:rsidRPr="008E2E34" w:rsidRDefault="001B4BC6"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2707/USL/2024-USL</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1B4BC6"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UZSVM/USL/2014/2024-USL</w:t>
      </w:r>
      <w:r w:rsidR="007A662F" w:rsidRPr="008E2E34">
        <w:rPr>
          <w:rFonts w:ascii="Arial" w:hAnsi="Arial" w:cs="Arial"/>
          <w:sz w:val="18"/>
          <w:szCs w:val="18"/>
        </w:rPr>
        <w:fldChar w:fldCharType="end"/>
      </w:r>
    </w:p>
    <w:p w:rsidR="005F57E8" w:rsidRDefault="001B4BC6" w:rsidP="005F57E8">
      <w:pPr>
        <w:jc w:val="both"/>
        <w:rPr>
          <w:rFonts w:ascii="Arial" w:hAnsi="Arial" w:cs="Arial"/>
          <w:b/>
          <w:sz w:val="22"/>
          <w:szCs w:val="22"/>
        </w:rPr>
      </w:pPr>
      <w:r>
        <w:rPr>
          <w:rFonts w:ascii="Arial" w:hAnsi="Arial" w:cs="Arial"/>
          <w:b/>
          <w:sz w:val="22"/>
          <w:szCs w:val="22"/>
        </w:rPr>
        <w:t>Česká republika - Úřad pro zastupování státu ve věcech majetkových</w:t>
      </w:r>
    </w:p>
    <w:p w:rsidR="005F57E8" w:rsidRDefault="001B4BC6" w:rsidP="005F57E8">
      <w:pPr>
        <w:jc w:val="both"/>
        <w:rPr>
          <w:rFonts w:ascii="Arial" w:hAnsi="Arial" w:cs="Arial"/>
          <w:sz w:val="22"/>
          <w:szCs w:val="22"/>
        </w:rPr>
      </w:pPr>
      <w:r>
        <w:rPr>
          <w:rFonts w:ascii="Arial" w:hAnsi="Arial" w:cs="Arial"/>
          <w:sz w:val="22"/>
          <w:szCs w:val="22"/>
        </w:rPr>
        <w:t xml:space="preserve">se sídlem Rašínovo nábřeží 390/42, Nové Město, </w:t>
      </w:r>
      <w:r>
        <w:rPr>
          <w:rFonts w:ascii="Arial" w:hAnsi="Arial" w:cs="Arial"/>
          <w:sz w:val="22"/>
          <w:szCs w:val="22"/>
        </w:rPr>
        <w:t>128 00 Praha 2,</w:t>
      </w:r>
    </w:p>
    <w:p w:rsidR="005F57E8" w:rsidRDefault="001B4BC6" w:rsidP="005F57E8">
      <w:pPr>
        <w:jc w:val="both"/>
        <w:rPr>
          <w:rFonts w:ascii="Arial" w:hAnsi="Arial" w:cs="Arial"/>
          <w:sz w:val="22"/>
          <w:szCs w:val="22"/>
        </w:rPr>
      </w:pPr>
      <w:r>
        <w:rPr>
          <w:rFonts w:ascii="Arial" w:hAnsi="Arial" w:cs="Arial"/>
          <w:sz w:val="22"/>
          <w:szCs w:val="22"/>
        </w:rPr>
        <w:t>za kterou právně jedná Ing. Marie Popová, vedoucí samostatného oddělení Louny na základě Příkazu generálního ředitele č. 6/2019 v platném znění,</w:t>
      </w:r>
    </w:p>
    <w:p w:rsidR="005F57E8" w:rsidRDefault="001B4BC6" w:rsidP="005F57E8">
      <w:pPr>
        <w:spacing w:after="240"/>
        <w:jc w:val="both"/>
        <w:rPr>
          <w:rFonts w:ascii="Arial" w:hAnsi="Arial" w:cs="Arial"/>
          <w:sz w:val="22"/>
          <w:szCs w:val="22"/>
        </w:rPr>
      </w:pPr>
      <w:r>
        <w:rPr>
          <w:rFonts w:ascii="Arial" w:hAnsi="Arial" w:cs="Arial"/>
          <w:sz w:val="22"/>
          <w:szCs w:val="22"/>
        </w:rPr>
        <w:t>IČO: 69797111</w:t>
      </w:r>
    </w:p>
    <w:p w:rsidR="005F57E8" w:rsidRDefault="001B4BC6" w:rsidP="005F57E8">
      <w:pPr>
        <w:spacing w:after="240"/>
        <w:jc w:val="both"/>
        <w:rPr>
          <w:rFonts w:ascii="Arial" w:hAnsi="Arial" w:cs="Arial"/>
          <w:sz w:val="22"/>
          <w:szCs w:val="22"/>
        </w:rPr>
      </w:pPr>
      <w:r>
        <w:rPr>
          <w:rFonts w:ascii="Arial" w:hAnsi="Arial" w:cs="Arial"/>
          <w:sz w:val="22"/>
          <w:szCs w:val="22"/>
        </w:rPr>
        <w:t>(dále jen „prodávající“),</w:t>
      </w:r>
    </w:p>
    <w:p w:rsidR="005F57E8" w:rsidRDefault="001B4BC6" w:rsidP="005F57E8">
      <w:pPr>
        <w:spacing w:after="240"/>
        <w:jc w:val="both"/>
        <w:rPr>
          <w:rFonts w:ascii="Arial" w:hAnsi="Arial" w:cs="Arial"/>
          <w:sz w:val="22"/>
          <w:szCs w:val="22"/>
        </w:rPr>
      </w:pPr>
      <w:r>
        <w:rPr>
          <w:rFonts w:ascii="Arial" w:hAnsi="Arial" w:cs="Arial"/>
          <w:sz w:val="22"/>
          <w:szCs w:val="22"/>
        </w:rPr>
        <w:t>a</w:t>
      </w:r>
    </w:p>
    <w:p w:rsidR="005F57E8" w:rsidRDefault="001B4BC6" w:rsidP="005F57E8">
      <w:pPr>
        <w:spacing w:after="240"/>
        <w:jc w:val="both"/>
        <w:rPr>
          <w:rFonts w:ascii="Arial" w:hAnsi="Arial" w:cs="Arial"/>
          <w:i/>
          <w:color w:val="0070C0"/>
          <w:sz w:val="22"/>
          <w:szCs w:val="22"/>
        </w:rPr>
      </w:pPr>
      <w:r>
        <w:rPr>
          <w:rFonts w:ascii="Arial" w:hAnsi="Arial" w:cs="Arial"/>
          <w:i/>
          <w:color w:val="0070C0"/>
          <w:sz w:val="22"/>
          <w:szCs w:val="22"/>
        </w:rPr>
        <w:t>Varianta - fyzická osoba</w:t>
      </w:r>
    </w:p>
    <w:p w:rsidR="005F57E8" w:rsidRDefault="001B4BC6" w:rsidP="005F57E8">
      <w:pPr>
        <w:jc w:val="both"/>
        <w:rPr>
          <w:rFonts w:ascii="Arial" w:hAnsi="Arial" w:cs="Arial"/>
          <w:b/>
          <w:sz w:val="22"/>
          <w:szCs w:val="22"/>
        </w:rPr>
      </w:pPr>
      <w:r>
        <w:rPr>
          <w:rFonts w:ascii="Arial" w:hAnsi="Arial" w:cs="Arial"/>
          <w:b/>
          <w:sz w:val="22"/>
          <w:szCs w:val="22"/>
        </w:rPr>
        <w:t xml:space="preserve">XY </w:t>
      </w:r>
    </w:p>
    <w:p w:rsidR="005F57E8" w:rsidRDefault="001B4BC6" w:rsidP="005F57E8">
      <w:pPr>
        <w:jc w:val="both"/>
        <w:rPr>
          <w:rFonts w:ascii="Arial" w:hAnsi="Arial" w:cs="Arial"/>
          <w:sz w:val="22"/>
          <w:szCs w:val="22"/>
        </w:rPr>
      </w:pPr>
      <w:r>
        <w:rPr>
          <w:rFonts w:ascii="Arial" w:hAnsi="Arial" w:cs="Arial"/>
          <w:sz w:val="22"/>
          <w:szCs w:val="22"/>
        </w:rPr>
        <w:t>datum narození ... ,</w:t>
      </w:r>
    </w:p>
    <w:p w:rsidR="005F57E8" w:rsidRDefault="001B4BC6" w:rsidP="005F57E8">
      <w:pPr>
        <w:spacing w:after="240"/>
        <w:jc w:val="both"/>
        <w:rPr>
          <w:rFonts w:ascii="Arial" w:hAnsi="Arial" w:cs="Arial"/>
          <w:sz w:val="22"/>
          <w:szCs w:val="22"/>
        </w:rPr>
      </w:pPr>
      <w:r>
        <w:rPr>
          <w:rFonts w:ascii="Arial" w:hAnsi="Arial" w:cs="Arial"/>
          <w:sz w:val="22"/>
          <w:szCs w:val="22"/>
        </w:rPr>
        <w:t>trvalý pobyt ...</w:t>
      </w:r>
    </w:p>
    <w:p w:rsidR="005F57E8" w:rsidRDefault="001B4BC6" w:rsidP="005F57E8">
      <w:pPr>
        <w:spacing w:after="240"/>
        <w:jc w:val="both"/>
        <w:rPr>
          <w:rFonts w:ascii="Arial" w:hAnsi="Arial" w:cs="Arial"/>
          <w:sz w:val="22"/>
          <w:szCs w:val="22"/>
        </w:rPr>
      </w:pPr>
      <w:r>
        <w:rPr>
          <w:rFonts w:ascii="Arial" w:hAnsi="Arial" w:cs="Arial"/>
          <w:sz w:val="22"/>
          <w:szCs w:val="22"/>
        </w:rPr>
        <w:t>(dále jen „kupující“),</w:t>
      </w:r>
    </w:p>
    <w:p w:rsidR="005F57E8" w:rsidRDefault="001B4BC6" w:rsidP="005F57E8">
      <w:pPr>
        <w:spacing w:after="240"/>
        <w:jc w:val="both"/>
        <w:rPr>
          <w:rFonts w:ascii="Arial" w:hAnsi="Arial" w:cs="Arial"/>
          <w:i/>
          <w:color w:val="0070C0"/>
          <w:sz w:val="22"/>
          <w:szCs w:val="22"/>
        </w:rPr>
      </w:pPr>
      <w:r>
        <w:rPr>
          <w:rFonts w:ascii="Arial" w:hAnsi="Arial" w:cs="Arial"/>
          <w:i/>
          <w:color w:val="0070C0"/>
          <w:sz w:val="22"/>
          <w:szCs w:val="22"/>
        </w:rPr>
        <w:t>Varianta - manželé</w:t>
      </w:r>
    </w:p>
    <w:p w:rsidR="005F57E8" w:rsidRDefault="001B4BC6" w:rsidP="005F57E8">
      <w:pPr>
        <w:spacing w:after="240"/>
        <w:jc w:val="both"/>
        <w:rPr>
          <w:rFonts w:ascii="Arial" w:hAnsi="Arial" w:cs="Arial"/>
          <w:sz w:val="22"/>
          <w:szCs w:val="22"/>
        </w:rPr>
      </w:pPr>
      <w:r>
        <w:rPr>
          <w:rFonts w:ascii="Arial" w:hAnsi="Arial" w:cs="Arial"/>
          <w:sz w:val="22"/>
          <w:szCs w:val="22"/>
        </w:rPr>
        <w:t>Manželé</w:t>
      </w:r>
    </w:p>
    <w:p w:rsidR="005F57E8" w:rsidRDefault="001B4BC6" w:rsidP="005F57E8">
      <w:pPr>
        <w:jc w:val="both"/>
        <w:rPr>
          <w:rFonts w:ascii="Arial" w:hAnsi="Arial" w:cs="Arial"/>
          <w:b/>
          <w:sz w:val="22"/>
          <w:szCs w:val="22"/>
        </w:rPr>
      </w:pPr>
      <w:r>
        <w:rPr>
          <w:rFonts w:ascii="Arial" w:hAnsi="Arial" w:cs="Arial"/>
          <w:b/>
          <w:sz w:val="22"/>
          <w:szCs w:val="22"/>
        </w:rPr>
        <w:t>XY</w:t>
      </w:r>
    </w:p>
    <w:p w:rsidR="005F57E8" w:rsidRDefault="001B4BC6" w:rsidP="005F57E8">
      <w:pPr>
        <w:jc w:val="both"/>
        <w:rPr>
          <w:rFonts w:ascii="Arial" w:hAnsi="Arial" w:cs="Arial"/>
          <w:sz w:val="22"/>
          <w:szCs w:val="22"/>
        </w:rPr>
      </w:pPr>
      <w:r>
        <w:rPr>
          <w:rFonts w:ascii="Arial" w:hAnsi="Arial" w:cs="Arial"/>
          <w:sz w:val="22"/>
          <w:szCs w:val="22"/>
        </w:rPr>
        <w:t>datum narození ... ,</w:t>
      </w:r>
    </w:p>
    <w:p w:rsidR="005F57E8" w:rsidRDefault="001B4BC6" w:rsidP="005F57E8">
      <w:pPr>
        <w:spacing w:after="240"/>
        <w:jc w:val="both"/>
        <w:rPr>
          <w:rFonts w:ascii="Arial" w:hAnsi="Arial" w:cs="Arial"/>
          <w:sz w:val="22"/>
          <w:szCs w:val="22"/>
        </w:rPr>
      </w:pPr>
      <w:r>
        <w:rPr>
          <w:rFonts w:ascii="Arial" w:hAnsi="Arial" w:cs="Arial"/>
          <w:sz w:val="22"/>
          <w:szCs w:val="22"/>
        </w:rPr>
        <w:t>trvalý pobyt ... ,</w:t>
      </w:r>
    </w:p>
    <w:p w:rsidR="005F57E8" w:rsidRDefault="001B4BC6" w:rsidP="005F57E8">
      <w:pPr>
        <w:jc w:val="both"/>
        <w:rPr>
          <w:rFonts w:ascii="Arial" w:hAnsi="Arial" w:cs="Arial"/>
          <w:b/>
          <w:sz w:val="22"/>
          <w:szCs w:val="22"/>
        </w:rPr>
      </w:pPr>
      <w:r>
        <w:rPr>
          <w:rFonts w:ascii="Arial" w:hAnsi="Arial" w:cs="Arial"/>
          <w:b/>
          <w:sz w:val="22"/>
          <w:szCs w:val="22"/>
        </w:rPr>
        <w:t>ZY</w:t>
      </w:r>
    </w:p>
    <w:p w:rsidR="005F57E8" w:rsidRDefault="001B4BC6" w:rsidP="005F57E8">
      <w:pPr>
        <w:jc w:val="both"/>
        <w:rPr>
          <w:rFonts w:ascii="Arial" w:hAnsi="Arial" w:cs="Arial"/>
          <w:sz w:val="22"/>
          <w:szCs w:val="22"/>
        </w:rPr>
      </w:pPr>
      <w:r>
        <w:rPr>
          <w:rFonts w:ascii="Arial" w:hAnsi="Arial" w:cs="Arial"/>
          <w:sz w:val="22"/>
          <w:szCs w:val="22"/>
        </w:rPr>
        <w:t>datum narození ... ,</w:t>
      </w:r>
    </w:p>
    <w:p w:rsidR="005F57E8" w:rsidRDefault="001B4BC6" w:rsidP="005F57E8">
      <w:pPr>
        <w:spacing w:after="240"/>
        <w:jc w:val="both"/>
        <w:rPr>
          <w:rFonts w:ascii="Arial" w:hAnsi="Arial" w:cs="Arial"/>
          <w:sz w:val="22"/>
          <w:szCs w:val="22"/>
        </w:rPr>
      </w:pPr>
      <w:r>
        <w:rPr>
          <w:rFonts w:ascii="Arial" w:hAnsi="Arial" w:cs="Arial"/>
          <w:sz w:val="22"/>
          <w:szCs w:val="22"/>
        </w:rPr>
        <w:t>trvalý pobyt ...</w:t>
      </w:r>
    </w:p>
    <w:p w:rsidR="005F57E8" w:rsidRDefault="001B4BC6" w:rsidP="005F57E8">
      <w:pPr>
        <w:spacing w:after="240"/>
        <w:jc w:val="both"/>
        <w:rPr>
          <w:rFonts w:ascii="Arial" w:hAnsi="Arial" w:cs="Arial"/>
          <w:sz w:val="22"/>
          <w:szCs w:val="22"/>
        </w:rPr>
      </w:pPr>
      <w:r>
        <w:rPr>
          <w:rFonts w:ascii="Arial" w:hAnsi="Arial" w:cs="Arial"/>
          <w:sz w:val="22"/>
          <w:szCs w:val="22"/>
        </w:rPr>
        <w:t>(dále jen „kupující“),</w:t>
      </w:r>
    </w:p>
    <w:p w:rsidR="005F57E8" w:rsidRDefault="001B4BC6" w:rsidP="005F57E8">
      <w:pPr>
        <w:spacing w:after="240"/>
        <w:jc w:val="both"/>
        <w:rPr>
          <w:rFonts w:ascii="Arial" w:hAnsi="Arial" w:cs="Arial"/>
          <w:i/>
          <w:color w:val="0070C0"/>
          <w:sz w:val="22"/>
          <w:szCs w:val="22"/>
        </w:rPr>
      </w:pPr>
      <w:r>
        <w:rPr>
          <w:rFonts w:ascii="Arial" w:hAnsi="Arial" w:cs="Arial"/>
          <w:i/>
          <w:color w:val="0070C0"/>
          <w:sz w:val="22"/>
          <w:szCs w:val="22"/>
        </w:rPr>
        <w:t>Varianta - právnická osoba</w:t>
      </w:r>
    </w:p>
    <w:p w:rsidR="005F57E8" w:rsidRDefault="001B4BC6" w:rsidP="005F57E8">
      <w:pPr>
        <w:jc w:val="both"/>
        <w:rPr>
          <w:rFonts w:ascii="Arial" w:hAnsi="Arial" w:cs="Arial"/>
          <w:b/>
          <w:sz w:val="22"/>
          <w:szCs w:val="22"/>
        </w:rPr>
      </w:pPr>
      <w:r>
        <w:rPr>
          <w:rFonts w:ascii="Arial" w:hAnsi="Arial" w:cs="Arial"/>
          <w:b/>
          <w:sz w:val="22"/>
          <w:szCs w:val="22"/>
        </w:rPr>
        <w:t>AB</w:t>
      </w:r>
    </w:p>
    <w:p w:rsidR="005F57E8" w:rsidRDefault="001B4BC6" w:rsidP="005F57E8">
      <w:pPr>
        <w:jc w:val="both"/>
        <w:rPr>
          <w:rFonts w:ascii="Arial" w:hAnsi="Arial" w:cs="Arial"/>
          <w:sz w:val="22"/>
          <w:szCs w:val="22"/>
        </w:rPr>
      </w:pPr>
      <w:r>
        <w:rPr>
          <w:rFonts w:ascii="Arial" w:hAnsi="Arial" w:cs="Arial"/>
          <w:sz w:val="22"/>
          <w:szCs w:val="22"/>
        </w:rPr>
        <w:t>se sídlem ... ,</w:t>
      </w:r>
    </w:p>
    <w:p w:rsidR="005F57E8" w:rsidRDefault="001B4BC6" w:rsidP="005F57E8">
      <w:pPr>
        <w:jc w:val="both"/>
        <w:rPr>
          <w:rFonts w:ascii="Arial" w:hAnsi="Arial" w:cs="Arial"/>
          <w:sz w:val="22"/>
          <w:szCs w:val="22"/>
        </w:rPr>
      </w:pPr>
      <w:r>
        <w:rPr>
          <w:rFonts w:ascii="Arial" w:hAnsi="Arial" w:cs="Arial"/>
          <w:sz w:val="22"/>
          <w:szCs w:val="22"/>
        </w:rPr>
        <w:t xml:space="preserve">kterou zastupuje ..., </w:t>
      </w:r>
    </w:p>
    <w:p w:rsidR="005F57E8" w:rsidRDefault="001B4BC6" w:rsidP="005F57E8">
      <w:pPr>
        <w:jc w:val="both"/>
        <w:rPr>
          <w:rFonts w:ascii="Arial" w:hAnsi="Arial" w:cs="Arial"/>
          <w:sz w:val="22"/>
          <w:szCs w:val="22"/>
        </w:rPr>
      </w:pPr>
      <w:r>
        <w:rPr>
          <w:rFonts w:ascii="Arial" w:hAnsi="Arial" w:cs="Arial"/>
          <w:sz w:val="22"/>
          <w:szCs w:val="22"/>
        </w:rPr>
        <w:t>IČO ... ,</w:t>
      </w:r>
      <w:r>
        <w:rPr>
          <w:rFonts w:ascii="Arial" w:hAnsi="Arial" w:cs="Arial"/>
          <w:sz w:val="22"/>
          <w:szCs w:val="22"/>
        </w:rPr>
        <w:t xml:space="preserve"> DIČ ... ,</w:t>
      </w:r>
    </w:p>
    <w:p w:rsidR="005F57E8" w:rsidRDefault="001B4BC6" w:rsidP="005F57E8">
      <w:pPr>
        <w:spacing w:after="240"/>
        <w:jc w:val="both"/>
        <w:rPr>
          <w:rFonts w:ascii="Arial" w:hAnsi="Arial" w:cs="Arial"/>
          <w:sz w:val="22"/>
          <w:szCs w:val="22"/>
        </w:rPr>
      </w:pPr>
      <w:r>
        <w:rPr>
          <w:rFonts w:ascii="Arial" w:hAnsi="Arial" w:cs="Arial"/>
          <w:sz w:val="22"/>
          <w:szCs w:val="22"/>
        </w:rPr>
        <w:t>zapsána v obchodním rejstříku vedeném Krajským soudem v Ústí n. L., sp. zn. ... , vl. ...</w:t>
      </w:r>
    </w:p>
    <w:p w:rsidR="005F57E8" w:rsidRDefault="001B4BC6" w:rsidP="005F57E8">
      <w:pPr>
        <w:spacing w:after="240"/>
        <w:jc w:val="both"/>
        <w:rPr>
          <w:rFonts w:ascii="Arial" w:hAnsi="Arial" w:cs="Arial"/>
          <w:sz w:val="22"/>
          <w:szCs w:val="22"/>
        </w:rPr>
      </w:pPr>
      <w:r>
        <w:rPr>
          <w:rFonts w:ascii="Arial" w:hAnsi="Arial" w:cs="Arial"/>
          <w:sz w:val="22"/>
          <w:szCs w:val="22"/>
        </w:rPr>
        <w:t>(dále jen „kupující“),</w:t>
      </w:r>
    </w:p>
    <w:p w:rsidR="005F57E8" w:rsidRDefault="001B4BC6" w:rsidP="005F57E8">
      <w:pPr>
        <w:spacing w:after="240"/>
        <w:jc w:val="both"/>
        <w:rPr>
          <w:rFonts w:ascii="Arial" w:hAnsi="Arial" w:cs="Arial"/>
          <w:i/>
          <w:color w:val="0070C0"/>
          <w:sz w:val="22"/>
          <w:szCs w:val="22"/>
        </w:rPr>
      </w:pPr>
      <w:r>
        <w:rPr>
          <w:rFonts w:ascii="Arial" w:hAnsi="Arial" w:cs="Arial"/>
          <w:i/>
          <w:color w:val="0070C0"/>
          <w:sz w:val="22"/>
          <w:szCs w:val="22"/>
        </w:rPr>
        <w:t>Varianta - územní samosprávný celek</w:t>
      </w:r>
    </w:p>
    <w:p w:rsidR="005F57E8" w:rsidRDefault="001B4BC6" w:rsidP="005F57E8">
      <w:pPr>
        <w:jc w:val="both"/>
        <w:rPr>
          <w:rFonts w:ascii="Arial" w:hAnsi="Arial" w:cs="Arial"/>
          <w:b/>
          <w:sz w:val="22"/>
          <w:szCs w:val="22"/>
        </w:rPr>
      </w:pPr>
      <w:r>
        <w:rPr>
          <w:rFonts w:ascii="Arial" w:hAnsi="Arial" w:cs="Arial"/>
          <w:b/>
          <w:sz w:val="22"/>
          <w:szCs w:val="22"/>
        </w:rPr>
        <w:t xml:space="preserve">CD </w:t>
      </w:r>
    </w:p>
    <w:p w:rsidR="005F57E8" w:rsidRDefault="001B4BC6" w:rsidP="005F57E8">
      <w:pPr>
        <w:jc w:val="both"/>
        <w:rPr>
          <w:rFonts w:ascii="Arial" w:hAnsi="Arial" w:cs="Arial"/>
          <w:sz w:val="22"/>
          <w:szCs w:val="22"/>
        </w:rPr>
      </w:pPr>
      <w:r>
        <w:rPr>
          <w:rFonts w:ascii="Arial" w:hAnsi="Arial" w:cs="Arial"/>
          <w:sz w:val="22"/>
          <w:szCs w:val="22"/>
        </w:rPr>
        <w:t>se sídlem ... ,</w:t>
      </w:r>
    </w:p>
    <w:p w:rsidR="005F57E8" w:rsidRDefault="001B4BC6" w:rsidP="005F57E8">
      <w:pPr>
        <w:jc w:val="both"/>
        <w:rPr>
          <w:rFonts w:ascii="Arial" w:hAnsi="Arial" w:cs="Arial"/>
          <w:sz w:val="22"/>
          <w:szCs w:val="22"/>
        </w:rPr>
      </w:pPr>
      <w:r>
        <w:rPr>
          <w:rFonts w:ascii="Arial" w:hAnsi="Arial" w:cs="Arial"/>
          <w:sz w:val="22"/>
          <w:szCs w:val="22"/>
        </w:rPr>
        <w:t>kterou zastupuje ... ,</w:t>
      </w:r>
    </w:p>
    <w:p w:rsidR="005F57E8" w:rsidRDefault="001B4BC6" w:rsidP="005F57E8">
      <w:pPr>
        <w:spacing w:after="240"/>
        <w:jc w:val="both"/>
        <w:rPr>
          <w:rFonts w:ascii="Arial" w:hAnsi="Arial" w:cs="Arial"/>
          <w:sz w:val="22"/>
          <w:szCs w:val="22"/>
        </w:rPr>
      </w:pPr>
      <w:r>
        <w:rPr>
          <w:rFonts w:ascii="Arial" w:hAnsi="Arial" w:cs="Arial"/>
          <w:sz w:val="22"/>
          <w:szCs w:val="22"/>
        </w:rPr>
        <w:t>IČO ... , DIČ ...</w:t>
      </w:r>
    </w:p>
    <w:p w:rsidR="005F57E8" w:rsidRDefault="001B4BC6" w:rsidP="005F57E8">
      <w:pPr>
        <w:spacing w:after="240"/>
        <w:jc w:val="both"/>
        <w:rPr>
          <w:rFonts w:ascii="Arial" w:hAnsi="Arial" w:cs="Arial"/>
          <w:sz w:val="22"/>
          <w:szCs w:val="22"/>
        </w:rPr>
      </w:pPr>
      <w:r>
        <w:rPr>
          <w:rFonts w:ascii="Arial" w:hAnsi="Arial" w:cs="Arial"/>
          <w:sz w:val="22"/>
          <w:szCs w:val="22"/>
        </w:rPr>
        <w:t>(dále jen „kupující“),</w:t>
      </w:r>
    </w:p>
    <w:p w:rsidR="005F57E8" w:rsidRDefault="001B4BC6" w:rsidP="005F57E8">
      <w:pPr>
        <w:spacing w:after="240"/>
        <w:jc w:val="both"/>
        <w:rPr>
          <w:rFonts w:ascii="Arial" w:hAnsi="Arial" w:cs="Arial"/>
          <w:sz w:val="22"/>
          <w:szCs w:val="22"/>
        </w:rPr>
      </w:pPr>
      <w:r>
        <w:rPr>
          <w:rFonts w:ascii="Arial" w:hAnsi="Arial" w:cs="Arial"/>
          <w:sz w:val="22"/>
          <w:szCs w:val="22"/>
        </w:rPr>
        <w:t>uzavírají po</w:t>
      </w:r>
      <w:r>
        <w:rPr>
          <w:rFonts w:ascii="Arial" w:hAnsi="Arial" w:cs="Arial"/>
          <w:sz w:val="22"/>
          <w:szCs w:val="22"/>
        </w:rPr>
        <w:t xml:space="preserve">dle § 2079 a násl. zákona č. 89/2012 Sb., občanský zákoník, ve znění pozdějších předpisů (dále jen „zákon č. 89/2012 Sb.“), a podle zákona č. 219/2000 Sb., o majetku České </w:t>
      </w:r>
      <w:r>
        <w:rPr>
          <w:rFonts w:ascii="Arial" w:hAnsi="Arial" w:cs="Arial"/>
          <w:sz w:val="22"/>
          <w:szCs w:val="22"/>
        </w:rPr>
        <w:lastRenderedPageBreak/>
        <w:t>republiky a jejím vystupování v právních vztazích, ve znění pozdějších předpisů (dál</w:t>
      </w:r>
      <w:r>
        <w:rPr>
          <w:rFonts w:ascii="Arial" w:hAnsi="Arial" w:cs="Arial"/>
          <w:sz w:val="22"/>
          <w:szCs w:val="22"/>
        </w:rPr>
        <w:t>e jen „zákon č. 219/2000 Sb.“), tuto</w:t>
      </w:r>
    </w:p>
    <w:p w:rsidR="005F57E8" w:rsidRDefault="001B4BC6" w:rsidP="005F57E8">
      <w:pPr>
        <w:spacing w:after="240"/>
        <w:jc w:val="center"/>
        <w:rPr>
          <w:rFonts w:ascii="Arial" w:hAnsi="Arial" w:cs="Arial"/>
          <w:b/>
          <w:spacing w:val="60"/>
          <w:sz w:val="28"/>
          <w:szCs w:val="28"/>
        </w:rPr>
      </w:pPr>
      <w:r>
        <w:rPr>
          <w:rFonts w:ascii="Arial" w:hAnsi="Arial" w:cs="Arial"/>
          <w:b/>
          <w:spacing w:val="60"/>
          <w:sz w:val="28"/>
          <w:szCs w:val="28"/>
        </w:rPr>
        <w:t>KUPNÍ SMLOUVU</w:t>
      </w:r>
    </w:p>
    <w:p w:rsidR="005F57E8" w:rsidRDefault="001B4BC6" w:rsidP="005F57E8">
      <w:pPr>
        <w:spacing w:after="240"/>
        <w:jc w:val="center"/>
        <w:rPr>
          <w:rFonts w:ascii="Arial" w:hAnsi="Arial" w:cs="Arial"/>
          <w:b/>
          <w:spacing w:val="60"/>
          <w:sz w:val="28"/>
          <w:szCs w:val="28"/>
        </w:rPr>
      </w:pPr>
      <w:r>
        <w:rPr>
          <w:rFonts w:ascii="Arial" w:hAnsi="Arial" w:cs="Arial"/>
          <w:b/>
          <w:spacing w:val="60"/>
          <w:sz w:val="28"/>
          <w:szCs w:val="28"/>
        </w:rPr>
        <w:t>č. ...</w:t>
      </w:r>
    </w:p>
    <w:p w:rsidR="005F57E8" w:rsidRDefault="005F57E8" w:rsidP="005F57E8">
      <w:pPr>
        <w:spacing w:after="240"/>
        <w:jc w:val="center"/>
        <w:rPr>
          <w:rFonts w:ascii="Arial" w:hAnsi="Arial" w:cs="Arial"/>
          <w:b/>
          <w:spacing w:val="60"/>
          <w:sz w:val="28"/>
          <w:szCs w:val="28"/>
        </w:rPr>
      </w:pPr>
    </w:p>
    <w:p w:rsidR="005F57E8" w:rsidRDefault="001B4BC6" w:rsidP="005F57E8">
      <w:pPr>
        <w:spacing w:after="240"/>
        <w:jc w:val="center"/>
        <w:rPr>
          <w:rFonts w:ascii="Arial" w:hAnsi="Arial" w:cs="Arial"/>
          <w:b/>
          <w:sz w:val="22"/>
          <w:szCs w:val="22"/>
        </w:rPr>
      </w:pPr>
      <w:r>
        <w:rPr>
          <w:rFonts w:ascii="Arial" w:hAnsi="Arial" w:cs="Arial"/>
          <w:b/>
        </w:rPr>
        <w:t>Čl. I.</w:t>
      </w:r>
    </w:p>
    <w:p w:rsidR="005F57E8" w:rsidRDefault="001B4BC6" w:rsidP="005F57E8">
      <w:pPr>
        <w:pStyle w:val="Odstavecseseznamem"/>
        <w:numPr>
          <w:ilvl w:val="0"/>
          <w:numId w:val="1"/>
        </w:numPr>
        <w:spacing w:after="240" w:line="240" w:lineRule="auto"/>
        <w:jc w:val="both"/>
        <w:rPr>
          <w:rFonts w:ascii="Arial" w:hAnsi="Arial" w:cs="Arial"/>
        </w:rPr>
      </w:pPr>
      <w:r>
        <w:rPr>
          <w:rFonts w:ascii="Arial" w:hAnsi="Arial" w:cs="Arial"/>
        </w:rPr>
        <w:t>Česká republika je vlastníkem níže uvedených nemovitých věcí:</w:t>
      </w:r>
    </w:p>
    <w:p w:rsidR="005F57E8" w:rsidRDefault="001B4BC6" w:rsidP="005F57E8">
      <w:pPr>
        <w:pStyle w:val="Odstavecseseznamem"/>
        <w:spacing w:after="240" w:line="240" w:lineRule="auto"/>
        <w:ind w:left="360"/>
        <w:jc w:val="both"/>
        <w:rPr>
          <w:rFonts w:ascii="Arial" w:hAnsi="Arial" w:cs="Arial"/>
        </w:rPr>
      </w:pPr>
      <w:r>
        <w:rPr>
          <w:rFonts w:ascii="Arial" w:hAnsi="Arial" w:cs="Arial"/>
        </w:rPr>
        <w:t>Pozemky:</w:t>
      </w:r>
    </w:p>
    <w:p w:rsidR="005F57E8" w:rsidRDefault="001B4BC6" w:rsidP="005F57E8">
      <w:pPr>
        <w:numPr>
          <w:ilvl w:val="0"/>
          <w:numId w:val="2"/>
        </w:numPr>
        <w:ind w:left="357" w:firstLine="69"/>
        <w:jc w:val="both"/>
        <w:rPr>
          <w:rFonts w:ascii="Arial" w:eastAsiaTheme="minorHAnsi" w:hAnsi="Arial" w:cs="Arial"/>
          <w:sz w:val="22"/>
          <w:szCs w:val="22"/>
        </w:rPr>
      </w:pPr>
      <w:r>
        <w:rPr>
          <w:rFonts w:ascii="Arial" w:hAnsi="Arial" w:cs="Arial"/>
          <w:sz w:val="22"/>
          <w:szCs w:val="22"/>
        </w:rPr>
        <w:t>pozemková parcela č. 158/</w:t>
      </w:r>
      <w:proofErr w:type="gramStart"/>
      <w:r>
        <w:rPr>
          <w:rFonts w:ascii="Arial" w:hAnsi="Arial" w:cs="Arial"/>
          <w:sz w:val="22"/>
          <w:szCs w:val="22"/>
        </w:rPr>
        <w:t xml:space="preserve">7 </w:t>
      </w:r>
      <w:r>
        <w:rPr>
          <w:rFonts w:ascii="Arial" w:hAnsi="Arial" w:cs="Arial"/>
          <w:sz w:val="22"/>
          <w:szCs w:val="22"/>
        </w:rPr>
        <w:t>,</w:t>
      </w:r>
      <w:proofErr w:type="gramEnd"/>
      <w:r>
        <w:rPr>
          <w:rFonts w:ascii="Arial" w:hAnsi="Arial" w:cs="Arial"/>
          <w:sz w:val="22"/>
          <w:szCs w:val="22"/>
        </w:rPr>
        <w:t xml:space="preserve"> lesní pozemek, pozemek určený k plnění     </w:t>
      </w:r>
    </w:p>
    <w:p w:rsidR="005F57E8" w:rsidRDefault="001B4BC6" w:rsidP="005F57E8">
      <w:pPr>
        <w:ind w:left="426"/>
        <w:jc w:val="both"/>
        <w:rPr>
          <w:rFonts w:ascii="Arial" w:eastAsiaTheme="minorHAnsi" w:hAnsi="Arial" w:cs="Arial"/>
          <w:sz w:val="22"/>
          <w:szCs w:val="22"/>
        </w:rPr>
      </w:pPr>
      <w:r>
        <w:rPr>
          <w:rFonts w:ascii="Arial" w:hAnsi="Arial" w:cs="Arial"/>
          <w:sz w:val="22"/>
          <w:szCs w:val="22"/>
        </w:rPr>
        <w:t xml:space="preserve">     funkcí lesa</w:t>
      </w:r>
    </w:p>
    <w:p w:rsidR="005F57E8" w:rsidRDefault="001B4BC6" w:rsidP="005F57E8">
      <w:pPr>
        <w:numPr>
          <w:ilvl w:val="0"/>
          <w:numId w:val="2"/>
        </w:numPr>
        <w:ind w:left="357" w:firstLine="69"/>
        <w:jc w:val="both"/>
        <w:rPr>
          <w:rFonts w:ascii="Arial" w:eastAsiaTheme="minorHAnsi" w:hAnsi="Arial" w:cs="Arial"/>
          <w:sz w:val="22"/>
          <w:szCs w:val="22"/>
        </w:rPr>
      </w:pPr>
      <w:r>
        <w:rPr>
          <w:rFonts w:ascii="Arial" w:hAnsi="Arial" w:cs="Arial"/>
          <w:sz w:val="22"/>
          <w:szCs w:val="22"/>
        </w:rPr>
        <w:t xml:space="preserve">pozemková </w:t>
      </w:r>
      <w:r>
        <w:rPr>
          <w:rFonts w:ascii="Arial" w:hAnsi="Arial" w:cs="Arial"/>
          <w:sz w:val="22"/>
          <w:szCs w:val="22"/>
        </w:rPr>
        <w:t>parcela č. 731/</w:t>
      </w:r>
      <w:proofErr w:type="gramStart"/>
      <w:r>
        <w:rPr>
          <w:rFonts w:ascii="Arial" w:hAnsi="Arial" w:cs="Arial"/>
          <w:sz w:val="22"/>
          <w:szCs w:val="22"/>
        </w:rPr>
        <w:t xml:space="preserve">1 </w:t>
      </w:r>
      <w:r>
        <w:rPr>
          <w:rFonts w:ascii="Arial" w:hAnsi="Arial" w:cs="Arial"/>
          <w:sz w:val="22"/>
          <w:szCs w:val="22"/>
        </w:rPr>
        <w:t>,</w:t>
      </w:r>
      <w:proofErr w:type="gramEnd"/>
      <w:r>
        <w:rPr>
          <w:rFonts w:ascii="Arial" w:hAnsi="Arial" w:cs="Arial"/>
          <w:sz w:val="22"/>
          <w:szCs w:val="22"/>
        </w:rPr>
        <w:t xml:space="preserve"> ostatní plocha, ostatní komunikace</w:t>
      </w:r>
    </w:p>
    <w:p w:rsidR="005F57E8" w:rsidRDefault="001B4BC6" w:rsidP="005F57E8">
      <w:pPr>
        <w:numPr>
          <w:ilvl w:val="0"/>
          <w:numId w:val="2"/>
        </w:numPr>
        <w:ind w:left="357" w:firstLine="69"/>
        <w:jc w:val="both"/>
        <w:rPr>
          <w:rFonts w:ascii="Arial" w:eastAsiaTheme="minorHAnsi" w:hAnsi="Arial" w:cs="Arial"/>
          <w:sz w:val="22"/>
          <w:szCs w:val="22"/>
        </w:rPr>
      </w:pPr>
      <w:r>
        <w:rPr>
          <w:rFonts w:ascii="Arial" w:hAnsi="Arial" w:cs="Arial"/>
          <w:sz w:val="22"/>
          <w:szCs w:val="22"/>
        </w:rPr>
        <w:t>pozemková parcela č. 731/</w:t>
      </w:r>
      <w:proofErr w:type="gramStart"/>
      <w:r>
        <w:rPr>
          <w:rFonts w:ascii="Arial" w:hAnsi="Arial" w:cs="Arial"/>
          <w:sz w:val="22"/>
          <w:szCs w:val="22"/>
        </w:rPr>
        <w:t xml:space="preserve">6 </w:t>
      </w:r>
      <w:r>
        <w:rPr>
          <w:rFonts w:ascii="Arial" w:hAnsi="Arial" w:cs="Arial"/>
          <w:sz w:val="22"/>
          <w:szCs w:val="22"/>
        </w:rPr>
        <w:t>,</w:t>
      </w:r>
      <w:proofErr w:type="gramEnd"/>
      <w:r>
        <w:rPr>
          <w:rFonts w:ascii="Arial" w:hAnsi="Arial" w:cs="Arial"/>
          <w:sz w:val="22"/>
          <w:szCs w:val="22"/>
        </w:rPr>
        <w:t xml:space="preserve"> ostatní plocha, ostatní komunikace</w:t>
      </w:r>
    </w:p>
    <w:p w:rsidR="005F57E8" w:rsidRDefault="005F57E8" w:rsidP="005F57E8">
      <w:pPr>
        <w:pStyle w:val="Odstavecseseznamem"/>
        <w:spacing w:after="240" w:line="240" w:lineRule="auto"/>
        <w:ind w:left="851"/>
        <w:jc w:val="both"/>
        <w:rPr>
          <w:rFonts w:ascii="Arial" w:hAnsi="Arial" w:cs="Arial"/>
        </w:rPr>
      </w:pPr>
    </w:p>
    <w:p w:rsidR="005F57E8" w:rsidRDefault="001B4BC6" w:rsidP="005F57E8">
      <w:pPr>
        <w:pStyle w:val="Odstavecseseznamem"/>
        <w:spacing w:after="240" w:line="240" w:lineRule="auto"/>
        <w:ind w:left="360"/>
        <w:jc w:val="both"/>
        <w:rPr>
          <w:rFonts w:ascii="Arial" w:hAnsi="Arial" w:cs="Arial"/>
        </w:rPr>
      </w:pPr>
      <w:r>
        <w:rPr>
          <w:rFonts w:ascii="Arial" w:hAnsi="Arial" w:cs="Arial"/>
        </w:rPr>
        <w:t>zapsané na listu vlastnictví č. 60000 pro katastrální území Úherce u Panenského Týnce, obec Úherce, v katast</w:t>
      </w:r>
      <w:r>
        <w:rPr>
          <w:rFonts w:ascii="Arial" w:hAnsi="Arial" w:cs="Arial"/>
        </w:rPr>
        <w:t>ru nemovitostí vedeném Katastrálním úřadem pro Ústecký kraj, katastrálním pracovištěm Louny. (dále jen „převáděný majetek“).</w:t>
      </w:r>
    </w:p>
    <w:p w:rsidR="005F57E8" w:rsidRDefault="001B4BC6" w:rsidP="005F57E8">
      <w:pPr>
        <w:pStyle w:val="Odstavecseseznamem"/>
        <w:numPr>
          <w:ilvl w:val="0"/>
          <w:numId w:val="1"/>
        </w:numPr>
        <w:spacing w:after="240" w:line="240" w:lineRule="auto"/>
        <w:jc w:val="both"/>
        <w:rPr>
          <w:rFonts w:ascii="Arial" w:hAnsi="Arial" w:cs="Arial"/>
        </w:rPr>
      </w:pPr>
      <w:r>
        <w:rPr>
          <w:rFonts w:ascii="Arial" w:hAnsi="Arial" w:cs="Arial"/>
        </w:rPr>
        <w:t>Úřad pro zastupování státu ve věcech majetkových je na základě bodu 14 čl. CXVII zákona č. 320/2002 Sb., o změně a zrušení některýc</w:t>
      </w:r>
      <w:r>
        <w:rPr>
          <w:rFonts w:ascii="Arial" w:hAnsi="Arial" w:cs="Arial"/>
        </w:rPr>
        <w:t xml:space="preserve">h zákonů v souvislosti s ukončením činnosti okresních úřadů dnem 1. 1. 2003, příslušný s převáděným majetkem hospodařit, a to ve smyslu § 9 zákona č. 219/2000 Sb. </w:t>
      </w:r>
    </w:p>
    <w:p w:rsidR="005F57E8" w:rsidRDefault="001B4BC6" w:rsidP="005F57E8">
      <w:pPr>
        <w:pStyle w:val="Odstavecseseznamem"/>
        <w:numPr>
          <w:ilvl w:val="0"/>
          <w:numId w:val="1"/>
        </w:numPr>
        <w:spacing w:after="240" w:line="240" w:lineRule="auto"/>
        <w:jc w:val="both"/>
        <w:rPr>
          <w:rFonts w:ascii="Arial" w:hAnsi="Arial" w:cs="Arial"/>
        </w:rPr>
      </w:pPr>
      <w:r>
        <w:rPr>
          <w:rFonts w:ascii="Arial" w:hAnsi="Arial" w:cs="Arial"/>
        </w:rPr>
        <w:t xml:space="preserve">Tato kupní smlouva je uzavírána na základě výsledků výběrového řízení s aukcí elektronickou </w:t>
      </w:r>
      <w:r>
        <w:rPr>
          <w:rFonts w:ascii="Arial" w:hAnsi="Arial" w:cs="Arial"/>
        </w:rPr>
        <w:t>formou uskutečněného prostřednictvím Elektronického aukčního systému prodávajícího pod ID elektronické aukce ... .</w:t>
      </w:r>
    </w:p>
    <w:p w:rsidR="005F57E8" w:rsidRDefault="005F57E8" w:rsidP="005F57E8">
      <w:pPr>
        <w:pStyle w:val="Odstavecseseznamem"/>
        <w:spacing w:after="240" w:line="240" w:lineRule="auto"/>
        <w:ind w:left="360"/>
        <w:jc w:val="both"/>
        <w:rPr>
          <w:rFonts w:ascii="Arial" w:hAnsi="Arial" w:cs="Arial"/>
        </w:rPr>
      </w:pPr>
    </w:p>
    <w:p w:rsidR="005F57E8" w:rsidRDefault="001B4BC6" w:rsidP="005F57E8">
      <w:pPr>
        <w:spacing w:after="240"/>
        <w:jc w:val="center"/>
        <w:rPr>
          <w:rFonts w:ascii="Arial" w:hAnsi="Arial" w:cs="Arial"/>
          <w:b/>
        </w:rPr>
      </w:pPr>
      <w:r>
        <w:rPr>
          <w:rFonts w:ascii="Arial" w:hAnsi="Arial" w:cs="Arial"/>
          <w:b/>
        </w:rPr>
        <w:t>Čl. II.</w:t>
      </w:r>
    </w:p>
    <w:p w:rsidR="005F57E8" w:rsidRDefault="001B4BC6" w:rsidP="005F57E8">
      <w:pPr>
        <w:pStyle w:val="Odstavecseseznamem"/>
        <w:numPr>
          <w:ilvl w:val="0"/>
          <w:numId w:val="3"/>
        </w:numPr>
        <w:spacing w:after="240" w:line="240" w:lineRule="auto"/>
        <w:jc w:val="both"/>
        <w:rPr>
          <w:rFonts w:ascii="Arial" w:hAnsi="Arial" w:cs="Arial"/>
        </w:rPr>
      </w:pPr>
      <w:r>
        <w:rPr>
          <w:rFonts w:ascii="Arial" w:hAnsi="Arial" w:cs="Arial"/>
        </w:rPr>
        <w:t>Prodávající převádí touto smlouvou kupujícímu vlastnické právo k převáděnému majetku se všemi právy a povinnostmi, a to za kupní cen</w:t>
      </w:r>
      <w:r>
        <w:rPr>
          <w:rFonts w:ascii="Arial" w:hAnsi="Arial" w:cs="Arial"/>
        </w:rPr>
        <w:t>u stanovenou v Čl. II. odst. 2 této smlouvy. Kupující toto právo za kupní cenu uvedenou v Čl. II. odst. 2 této smlouvy přijímá.</w:t>
      </w:r>
    </w:p>
    <w:p w:rsidR="005F57E8" w:rsidRDefault="001B4BC6" w:rsidP="005F57E8">
      <w:pPr>
        <w:pStyle w:val="Odstavecseseznamem"/>
        <w:numPr>
          <w:ilvl w:val="0"/>
          <w:numId w:val="3"/>
        </w:numPr>
        <w:spacing w:after="240" w:line="240" w:lineRule="auto"/>
        <w:jc w:val="both"/>
        <w:rPr>
          <w:rFonts w:ascii="Arial" w:hAnsi="Arial" w:cs="Arial"/>
        </w:rPr>
      </w:pPr>
      <w:r>
        <w:rPr>
          <w:rFonts w:ascii="Arial" w:hAnsi="Arial" w:cs="Arial"/>
          <w:i/>
          <w:color w:val="0070C0"/>
        </w:rPr>
        <w:t>Varianta odst. 1 – jde-li o nabytí do společného jmění manželů:</w:t>
      </w:r>
      <w:r>
        <w:rPr>
          <w:rFonts w:ascii="Arial" w:hAnsi="Arial" w:cs="Arial"/>
          <w:i/>
        </w:rPr>
        <w:t xml:space="preserve"> </w:t>
      </w:r>
      <w:r>
        <w:rPr>
          <w:rFonts w:ascii="Arial" w:hAnsi="Arial" w:cs="Arial"/>
        </w:rPr>
        <w:t>Prodávající převádí touto smlouvou kupujícím vlastnické právo k </w:t>
      </w:r>
      <w:r>
        <w:rPr>
          <w:rFonts w:ascii="Arial" w:hAnsi="Arial" w:cs="Arial"/>
        </w:rPr>
        <w:t>převáděnému majetku se všemi právy a povinnostmi, a to za kupní cenu, stanovenou v Čl. II. odst. 2 této smlouvy. Kupující toto právo za kupní cenu uvedenou v Čl. II. odst. 2 této smlouvy přijímají do společného jmění manželů.</w:t>
      </w:r>
    </w:p>
    <w:p w:rsidR="005F57E8" w:rsidRDefault="001B4BC6" w:rsidP="005F57E8">
      <w:pPr>
        <w:pStyle w:val="Odstavecseseznamem"/>
        <w:numPr>
          <w:ilvl w:val="0"/>
          <w:numId w:val="3"/>
        </w:numPr>
        <w:spacing w:after="240" w:line="240" w:lineRule="auto"/>
        <w:jc w:val="both"/>
        <w:rPr>
          <w:rFonts w:ascii="Arial" w:hAnsi="Arial" w:cs="Arial"/>
        </w:rPr>
      </w:pPr>
      <w:r>
        <w:rPr>
          <w:rFonts w:ascii="Arial" w:hAnsi="Arial" w:cs="Arial"/>
          <w:i/>
          <w:color w:val="0070C0"/>
        </w:rPr>
        <w:t>Varianta odst. 1 – jde-li o na</w:t>
      </w:r>
      <w:r>
        <w:rPr>
          <w:rFonts w:ascii="Arial" w:hAnsi="Arial" w:cs="Arial"/>
          <w:i/>
          <w:color w:val="0070C0"/>
        </w:rPr>
        <w:t>bytí do podílového spoluvlastnictví:</w:t>
      </w:r>
      <w:r>
        <w:rPr>
          <w:rFonts w:ascii="Arial" w:hAnsi="Arial" w:cs="Arial"/>
          <w:i/>
        </w:rPr>
        <w:t xml:space="preserve"> </w:t>
      </w:r>
      <w:r>
        <w:rPr>
          <w:rFonts w:ascii="Arial" w:hAnsi="Arial" w:cs="Arial"/>
        </w:rPr>
        <w:t xml:space="preserve">Prodávající převádí touto smlouvou kupujícím vlastnické právo k převáděnému majetku se všemi právy a povinnostmi, a to za kupní cenu stanovenou v Čl. II. odst. 2 této smlouvy. Kupující toto právo za kupní cenu uvedenou </w:t>
      </w:r>
      <w:r>
        <w:rPr>
          <w:rFonts w:ascii="Arial" w:hAnsi="Arial" w:cs="Arial"/>
        </w:rPr>
        <w:t>v Čl. II. odst. 2 této smlouvy přijímají do podílového spoluvlastnictví, a to např. XY podíl ve výši ... vzhledem k celku a YZ podíl ve výši ... vzhledem k celku.</w:t>
      </w:r>
    </w:p>
    <w:p w:rsidR="005F57E8" w:rsidRDefault="001B4BC6" w:rsidP="005F57E8">
      <w:pPr>
        <w:pStyle w:val="Odstavecseseznamem"/>
        <w:numPr>
          <w:ilvl w:val="0"/>
          <w:numId w:val="3"/>
        </w:numPr>
        <w:spacing w:after="240" w:line="240" w:lineRule="auto"/>
        <w:jc w:val="both"/>
        <w:rPr>
          <w:rFonts w:ascii="Arial" w:hAnsi="Arial" w:cs="Arial"/>
        </w:rPr>
      </w:pPr>
      <w:r>
        <w:rPr>
          <w:rFonts w:ascii="Arial" w:hAnsi="Arial" w:cs="Arial"/>
        </w:rPr>
        <w:t xml:space="preserve">Kupní cena za převáděný majetek ve smyslu odst. 1 tohoto článku činí ... Kč (slovy: ...korun </w:t>
      </w:r>
      <w:r>
        <w:rPr>
          <w:rFonts w:ascii="Arial" w:hAnsi="Arial" w:cs="Arial"/>
        </w:rPr>
        <w:t>českých).</w:t>
      </w:r>
    </w:p>
    <w:p w:rsidR="005F57E8" w:rsidRDefault="005F57E8" w:rsidP="005F57E8">
      <w:pPr>
        <w:pStyle w:val="Odstavecseseznamem"/>
        <w:spacing w:after="240" w:line="240" w:lineRule="auto"/>
        <w:ind w:left="360"/>
        <w:jc w:val="both"/>
        <w:rPr>
          <w:rFonts w:ascii="Arial" w:hAnsi="Arial" w:cs="Arial"/>
        </w:rPr>
      </w:pPr>
    </w:p>
    <w:p w:rsidR="005F57E8" w:rsidRDefault="001B4BC6" w:rsidP="005F57E8">
      <w:pPr>
        <w:spacing w:after="240"/>
        <w:jc w:val="center"/>
        <w:rPr>
          <w:rFonts w:ascii="Arial" w:hAnsi="Arial" w:cs="Arial"/>
          <w:b/>
        </w:rPr>
      </w:pPr>
      <w:r>
        <w:rPr>
          <w:rFonts w:ascii="Arial" w:hAnsi="Arial" w:cs="Arial"/>
          <w:b/>
        </w:rPr>
        <w:t>Čl. III.</w:t>
      </w:r>
    </w:p>
    <w:p w:rsidR="005F57E8" w:rsidRDefault="001B4BC6" w:rsidP="005F57E8">
      <w:pPr>
        <w:pStyle w:val="Odstavecseseznamem"/>
        <w:numPr>
          <w:ilvl w:val="0"/>
          <w:numId w:val="4"/>
        </w:numPr>
        <w:spacing w:after="240" w:line="240" w:lineRule="auto"/>
        <w:jc w:val="both"/>
        <w:rPr>
          <w:rFonts w:ascii="Arial" w:hAnsi="Arial" w:cs="Arial"/>
        </w:rPr>
      </w:pPr>
      <w:r>
        <w:rPr>
          <w:rFonts w:ascii="Arial" w:hAnsi="Arial" w:cs="Arial"/>
        </w:rPr>
        <w:t>Kupující je povinen zaplatit kupní cenu dle Čl. II. odst. 2 na účet prodávajícího č. 19</w:t>
      </w:r>
      <w:r>
        <w:rPr>
          <w:rFonts w:ascii="Arial" w:hAnsi="Arial" w:cs="Arial"/>
        </w:rPr>
        <w:noBreakHyphen/>
        <w:t xml:space="preserve">8124411/0710, variabilní symbol </w:t>
      </w:r>
      <w:proofErr w:type="gramStart"/>
      <w:r>
        <w:rPr>
          <w:rFonts w:ascii="Arial" w:hAnsi="Arial" w:cs="Arial"/>
        </w:rPr>
        <w:t>... ,</w:t>
      </w:r>
      <w:proofErr w:type="gramEnd"/>
      <w:r>
        <w:rPr>
          <w:rFonts w:ascii="Arial" w:hAnsi="Arial" w:cs="Arial"/>
        </w:rPr>
        <w:t xml:space="preserve"> a to ve lhůtě, která bude kupujícímu oznámena ve výzvě prodávajícího k zaplacení, přičemž tato lhůta nebude kratší než </w:t>
      </w:r>
      <w:r w:rsidR="00A12D16">
        <w:rPr>
          <w:rFonts w:ascii="Arial" w:hAnsi="Arial" w:cs="Arial"/>
        </w:rPr>
        <w:t>30</w:t>
      </w:r>
      <w:r>
        <w:rPr>
          <w:rFonts w:ascii="Arial" w:hAnsi="Arial" w:cs="Arial"/>
        </w:rPr>
        <w:t xml:space="preserve"> dnů ode dne odeslání výzvy k úhradě. </w:t>
      </w:r>
      <w:r>
        <w:rPr>
          <w:rFonts w:ascii="Arial" w:hAnsi="Arial" w:cs="Arial"/>
          <w:i/>
          <w:color w:val="0070C0"/>
        </w:rPr>
        <w:t>U nabytí do spoluvlastnictví dále:</w:t>
      </w:r>
      <w:r>
        <w:rPr>
          <w:rFonts w:ascii="Arial" w:hAnsi="Arial" w:cs="Arial"/>
        </w:rPr>
        <w:t xml:space="preserve"> Prodávající není povinen přijmout část plnění kupní ceny, by</w:t>
      </w:r>
      <w:r>
        <w:rPr>
          <w:rFonts w:ascii="Arial" w:hAnsi="Arial" w:cs="Arial"/>
        </w:rPr>
        <w:t>ť by jí byl uhrazen jeden z prodávaných ideálních spoluvlastnických podílů.</w:t>
      </w:r>
    </w:p>
    <w:p w:rsidR="005F57E8" w:rsidRDefault="001B4BC6" w:rsidP="005F57E8">
      <w:pPr>
        <w:pStyle w:val="Odstavecseseznamem"/>
        <w:numPr>
          <w:ilvl w:val="0"/>
          <w:numId w:val="4"/>
        </w:numPr>
        <w:spacing w:after="240" w:line="240" w:lineRule="auto"/>
        <w:jc w:val="both"/>
        <w:rPr>
          <w:rFonts w:ascii="Arial" w:hAnsi="Arial" w:cs="Arial"/>
        </w:rPr>
      </w:pPr>
      <w:r>
        <w:rPr>
          <w:rFonts w:ascii="Arial" w:hAnsi="Arial" w:cs="Arial"/>
        </w:rPr>
        <w:lastRenderedPageBreak/>
        <w:t>Neuhradí-li kupující celou kupní cenu ve lhůtě, stanovené touto smlouvou, je kupující povinen zaplatit smluvní pokutu ve výši 0,1 % z celkové kupní ceny za každý den prodlení.</w:t>
      </w:r>
    </w:p>
    <w:p w:rsidR="005F57E8" w:rsidRDefault="001B4BC6" w:rsidP="005F57E8">
      <w:pPr>
        <w:pStyle w:val="Odstavecseseznamem"/>
        <w:numPr>
          <w:ilvl w:val="0"/>
          <w:numId w:val="4"/>
        </w:numPr>
        <w:spacing w:after="240" w:line="240" w:lineRule="auto"/>
        <w:jc w:val="both"/>
        <w:rPr>
          <w:rFonts w:ascii="Arial" w:hAnsi="Arial" w:cs="Arial"/>
        </w:rPr>
      </w:pPr>
      <w:r>
        <w:rPr>
          <w:rFonts w:ascii="Arial" w:hAnsi="Arial" w:cs="Arial"/>
        </w:rPr>
        <w:t>V př</w:t>
      </w:r>
      <w:r>
        <w:rPr>
          <w:rFonts w:ascii="Arial" w:hAnsi="Arial" w:cs="Arial"/>
        </w:rPr>
        <w:t>ípadě prodlení s úhradou kupní ceny je kupující povinen zaplatit kromě smluvní pokuty dle předchozího odstavce i úroky z prodlení dle platné právní úpravy.</w:t>
      </w:r>
    </w:p>
    <w:p w:rsidR="005F57E8" w:rsidRDefault="001B4BC6" w:rsidP="005F57E8">
      <w:pPr>
        <w:pStyle w:val="Odstavecseseznamem"/>
        <w:numPr>
          <w:ilvl w:val="0"/>
          <w:numId w:val="4"/>
        </w:numPr>
        <w:spacing w:after="240" w:line="240" w:lineRule="auto"/>
        <w:jc w:val="both"/>
        <w:rPr>
          <w:rFonts w:ascii="Arial" w:hAnsi="Arial" w:cs="Arial"/>
        </w:rPr>
      </w:pPr>
      <w:r>
        <w:rPr>
          <w:rFonts w:ascii="Arial" w:hAnsi="Arial" w:cs="Arial"/>
        </w:rPr>
        <w:t>Pokud kupující v prohlášeních podle Čl. V. uvede nepravdivé skutečnosti o svých dluzích vůči prodáva</w:t>
      </w:r>
      <w:r>
        <w:rPr>
          <w:rFonts w:ascii="Arial" w:hAnsi="Arial" w:cs="Arial"/>
        </w:rPr>
        <w:t>jícímu a své způsobilosti nabýt převáděný majetek, má prodávající právo požadovat na kupujícím úhradu smluvní pokuty ve výši 10 % z kupní ceny.</w:t>
      </w:r>
    </w:p>
    <w:p w:rsidR="005F57E8" w:rsidRDefault="001B4BC6" w:rsidP="005F57E8">
      <w:pPr>
        <w:pStyle w:val="Odstavecseseznamem"/>
        <w:numPr>
          <w:ilvl w:val="0"/>
          <w:numId w:val="4"/>
        </w:numPr>
        <w:spacing w:after="240" w:line="240" w:lineRule="auto"/>
        <w:jc w:val="both"/>
        <w:rPr>
          <w:rFonts w:ascii="Arial" w:hAnsi="Arial" w:cs="Arial"/>
        </w:rPr>
      </w:pPr>
      <w:r>
        <w:rPr>
          <w:rFonts w:ascii="Arial" w:hAnsi="Arial" w:cs="Arial"/>
        </w:rPr>
        <w:t>Pokuty podle odst. 2 nebo 4 jsou splatné na účet prodávajícího č. 19</w:t>
      </w:r>
      <w:r>
        <w:rPr>
          <w:rFonts w:ascii="Arial" w:hAnsi="Arial" w:cs="Arial"/>
        </w:rPr>
        <w:noBreakHyphen/>
        <w:t>8124411/0710 ve lhůtě, která bude kupujícím</w:t>
      </w:r>
      <w:r>
        <w:rPr>
          <w:rFonts w:ascii="Arial" w:hAnsi="Arial" w:cs="Arial"/>
        </w:rPr>
        <w:t>u oznámena ve výzvě prodávajícího k zaplacení, přičemž tato lhůta nebude kratší než 15 dnů ode dne odeslání výzvy k úhradě.</w:t>
      </w:r>
    </w:p>
    <w:p w:rsidR="005F57E8" w:rsidRDefault="001B4BC6" w:rsidP="005F57E8">
      <w:pPr>
        <w:pStyle w:val="Odstavecseseznamem"/>
        <w:numPr>
          <w:ilvl w:val="0"/>
          <w:numId w:val="4"/>
        </w:numPr>
        <w:spacing w:after="240" w:line="240" w:lineRule="auto"/>
        <w:jc w:val="both"/>
        <w:rPr>
          <w:rFonts w:ascii="Arial" w:hAnsi="Arial" w:cs="Arial"/>
        </w:rPr>
      </w:pPr>
      <w:r>
        <w:rPr>
          <w:rFonts w:ascii="Arial" w:hAnsi="Arial" w:cs="Arial"/>
        </w:rPr>
        <w:t>Pro účely této smlouvy se kupní cena, smluvní pokuta, úroky z prodlení a případné jiné platby, považují za zaplacené okamžikem přips</w:t>
      </w:r>
      <w:r>
        <w:rPr>
          <w:rFonts w:ascii="Arial" w:hAnsi="Arial" w:cs="Arial"/>
        </w:rPr>
        <w:t>ání celé hrazené částky na účet prodávajícího.</w:t>
      </w:r>
    </w:p>
    <w:p w:rsidR="005F57E8" w:rsidRDefault="005F57E8" w:rsidP="005F57E8">
      <w:pPr>
        <w:pStyle w:val="Odstavecseseznamem"/>
        <w:spacing w:after="240" w:line="240" w:lineRule="auto"/>
        <w:ind w:left="360"/>
        <w:jc w:val="both"/>
        <w:rPr>
          <w:rFonts w:ascii="Arial" w:hAnsi="Arial" w:cs="Arial"/>
        </w:rPr>
      </w:pPr>
    </w:p>
    <w:p w:rsidR="005F57E8" w:rsidRDefault="001B4BC6" w:rsidP="005F57E8">
      <w:pPr>
        <w:spacing w:after="240"/>
        <w:jc w:val="center"/>
        <w:rPr>
          <w:rFonts w:ascii="Arial" w:hAnsi="Arial" w:cs="Arial"/>
          <w:b/>
        </w:rPr>
      </w:pPr>
      <w:r>
        <w:rPr>
          <w:rFonts w:ascii="Arial" w:hAnsi="Arial" w:cs="Arial"/>
          <w:b/>
        </w:rPr>
        <w:t>Čl. IV.</w:t>
      </w:r>
    </w:p>
    <w:p w:rsidR="005F57E8" w:rsidRDefault="001B4BC6" w:rsidP="005F57E8">
      <w:pPr>
        <w:pStyle w:val="Odstavecseseznamem"/>
        <w:numPr>
          <w:ilvl w:val="0"/>
          <w:numId w:val="5"/>
        </w:numPr>
        <w:spacing w:after="240" w:line="240" w:lineRule="auto"/>
        <w:jc w:val="both"/>
        <w:rPr>
          <w:rFonts w:ascii="Arial" w:hAnsi="Arial" w:cs="Arial"/>
        </w:rPr>
      </w:pPr>
      <w:r>
        <w:rPr>
          <w:rFonts w:ascii="Arial" w:hAnsi="Arial" w:cs="Arial"/>
        </w:rPr>
        <w:t xml:space="preserve">Prodávající prohlašuje, že malá část pozemků p.p.č. 731/1 a 731/6 je zemědělsky užívána, užívání je řešeno </w:t>
      </w:r>
      <w:r w:rsidR="00A12D16">
        <w:rPr>
          <w:rFonts w:ascii="Arial" w:hAnsi="Arial" w:cs="Arial"/>
        </w:rPr>
        <w:t>samostatně</w:t>
      </w:r>
      <w:r>
        <w:rPr>
          <w:rFonts w:ascii="Arial" w:hAnsi="Arial" w:cs="Arial"/>
        </w:rPr>
        <w:t xml:space="preserve">. O jiných omezeních, závazcích či právních vadách není prodávajícímu nic známo. </w:t>
      </w:r>
      <w:bookmarkStart w:id="0" w:name="_Hlk164665667"/>
    </w:p>
    <w:bookmarkEnd w:id="0"/>
    <w:p w:rsidR="005F57E8" w:rsidRDefault="005F57E8" w:rsidP="005F57E8">
      <w:pPr>
        <w:pStyle w:val="Odstavecseseznamem"/>
        <w:spacing w:after="240" w:line="240" w:lineRule="auto"/>
        <w:ind w:left="357"/>
        <w:jc w:val="both"/>
        <w:rPr>
          <w:rFonts w:ascii="Arial" w:hAnsi="Arial" w:cs="Arial"/>
        </w:rPr>
      </w:pPr>
    </w:p>
    <w:p w:rsidR="005F57E8" w:rsidRDefault="001B4BC6" w:rsidP="005F57E8">
      <w:pPr>
        <w:pStyle w:val="Odstavecseseznamem"/>
        <w:numPr>
          <w:ilvl w:val="0"/>
          <w:numId w:val="5"/>
        </w:numPr>
        <w:spacing w:after="240" w:line="240" w:lineRule="auto"/>
        <w:jc w:val="both"/>
        <w:rPr>
          <w:rFonts w:ascii="Arial" w:hAnsi="Arial" w:cs="Arial"/>
        </w:rPr>
      </w:pPr>
      <w:r>
        <w:rPr>
          <w:rFonts w:ascii="Arial" w:hAnsi="Arial" w:cs="Arial"/>
        </w:rPr>
        <w:t>Kupující se v souladu s ustanovením § 1916 odst. 2 zákona č. 89/2012 Sb. vzdává svého práva z vadného plnění a zavazuje se, že nebude po prodávajícím uplatňovat jakákoliv práva z vad převáděného majetku; ustanovení § 2002 zákona č. 89/2012 Sb. tím není do</w:t>
      </w:r>
      <w:r>
        <w:rPr>
          <w:rFonts w:ascii="Arial" w:hAnsi="Arial" w:cs="Arial"/>
        </w:rPr>
        <w:t>tčeno.</w:t>
      </w:r>
    </w:p>
    <w:p w:rsidR="005F57E8" w:rsidRDefault="005F57E8" w:rsidP="005F57E8">
      <w:pPr>
        <w:pStyle w:val="Odstavecseseznamem"/>
        <w:spacing w:after="240" w:line="240" w:lineRule="auto"/>
        <w:ind w:left="360"/>
        <w:jc w:val="both"/>
        <w:rPr>
          <w:rFonts w:ascii="Arial" w:hAnsi="Arial" w:cs="Arial"/>
        </w:rPr>
      </w:pPr>
    </w:p>
    <w:p w:rsidR="005F57E8" w:rsidRDefault="001B4BC6" w:rsidP="005F57E8">
      <w:pPr>
        <w:spacing w:after="240"/>
        <w:jc w:val="center"/>
        <w:rPr>
          <w:rFonts w:ascii="Arial" w:hAnsi="Arial" w:cs="Arial"/>
          <w:b/>
        </w:rPr>
      </w:pPr>
      <w:r>
        <w:rPr>
          <w:rFonts w:ascii="Arial" w:hAnsi="Arial" w:cs="Arial"/>
          <w:b/>
        </w:rPr>
        <w:t>Čl. V.</w:t>
      </w:r>
    </w:p>
    <w:p w:rsidR="005F57E8" w:rsidRDefault="001B4BC6" w:rsidP="005F57E8">
      <w:pPr>
        <w:spacing w:after="240"/>
        <w:jc w:val="both"/>
        <w:rPr>
          <w:rFonts w:ascii="Arial" w:hAnsi="Arial" w:cs="Arial"/>
          <w:sz w:val="22"/>
          <w:szCs w:val="22"/>
        </w:rPr>
      </w:pPr>
      <w:r>
        <w:rPr>
          <w:rFonts w:ascii="Arial" w:hAnsi="Arial" w:cs="Arial"/>
          <w:sz w:val="22"/>
          <w:szCs w:val="22"/>
        </w:rPr>
        <w:t>Kupující prohlašuje, že je mu současný stav převáděného majetku dobře znám. Kupující rovněž prohlašuje, že je schopen dodržet své závazky vyplývající z této smlouvy, zejména zaplatit včas a řádně kupní cenu, a že vůči prodávajícímu nemá žádn</w:t>
      </w:r>
      <w:r>
        <w:rPr>
          <w:rFonts w:ascii="Arial" w:hAnsi="Arial" w:cs="Arial"/>
          <w:sz w:val="22"/>
          <w:szCs w:val="22"/>
        </w:rPr>
        <w:t>ý dluh, jehož plnění je vynutitelné na základě vykonatelného exekučního titulu podle § 40 zákona č. 120/2001 Sb., o soudních exekutorech a exekuční činnosti (exekuční řád) a o změně dalších zákonů, ve znění pozdějších předpisů.</w:t>
      </w:r>
    </w:p>
    <w:p w:rsidR="005F57E8" w:rsidRDefault="001B4BC6" w:rsidP="005F57E8">
      <w:pPr>
        <w:spacing w:after="240"/>
        <w:jc w:val="center"/>
        <w:rPr>
          <w:rFonts w:ascii="Arial" w:hAnsi="Arial" w:cs="Arial"/>
          <w:b/>
        </w:rPr>
      </w:pPr>
      <w:r>
        <w:rPr>
          <w:rFonts w:ascii="Arial" w:hAnsi="Arial" w:cs="Arial"/>
          <w:b/>
        </w:rPr>
        <w:t>Čl. VI.</w:t>
      </w:r>
    </w:p>
    <w:p w:rsidR="005F57E8" w:rsidRDefault="001B4BC6" w:rsidP="005F57E8">
      <w:pPr>
        <w:spacing w:after="240"/>
        <w:jc w:val="both"/>
        <w:rPr>
          <w:rFonts w:ascii="Arial" w:hAnsi="Arial" w:cs="Arial"/>
          <w:sz w:val="22"/>
          <w:szCs w:val="22"/>
        </w:rPr>
      </w:pPr>
      <w:r>
        <w:rPr>
          <w:rFonts w:ascii="Arial" w:hAnsi="Arial" w:cs="Arial"/>
          <w:sz w:val="22"/>
          <w:szCs w:val="22"/>
        </w:rPr>
        <w:t xml:space="preserve">Kupující je povinen </w:t>
      </w:r>
      <w:r>
        <w:rPr>
          <w:rFonts w:ascii="Arial" w:hAnsi="Arial" w:cs="Arial"/>
          <w:sz w:val="22"/>
          <w:szCs w:val="22"/>
        </w:rPr>
        <w:t>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w:t>
      </w:r>
      <w:r>
        <w:rPr>
          <w:rFonts w:ascii="Arial" w:hAnsi="Arial" w:cs="Arial"/>
          <w:sz w:val="22"/>
          <w:szCs w:val="22"/>
        </w:rPr>
        <w:t>st kupujícího trvá až do okamžiku zaplacení kupní ceny s příslušenstvím.</w:t>
      </w:r>
    </w:p>
    <w:p w:rsidR="005F57E8" w:rsidRDefault="001B4BC6" w:rsidP="005F57E8">
      <w:pPr>
        <w:spacing w:after="240"/>
        <w:jc w:val="center"/>
        <w:rPr>
          <w:rFonts w:ascii="Arial" w:hAnsi="Arial" w:cs="Arial"/>
          <w:b/>
        </w:rPr>
      </w:pPr>
      <w:r>
        <w:rPr>
          <w:rFonts w:ascii="Arial" w:hAnsi="Arial" w:cs="Arial"/>
          <w:b/>
        </w:rPr>
        <w:t>Čl. VII.</w:t>
      </w:r>
    </w:p>
    <w:p w:rsidR="005F57E8" w:rsidRDefault="001B4BC6" w:rsidP="005F57E8">
      <w:pPr>
        <w:pStyle w:val="Odstavecseseznamem"/>
        <w:numPr>
          <w:ilvl w:val="0"/>
          <w:numId w:val="6"/>
        </w:numPr>
        <w:spacing w:after="240" w:line="240" w:lineRule="auto"/>
        <w:jc w:val="both"/>
        <w:rPr>
          <w:rFonts w:ascii="Arial" w:hAnsi="Arial" w:cs="Arial"/>
        </w:rPr>
      </w:pPr>
      <w:r>
        <w:rPr>
          <w:rFonts w:ascii="Arial" w:hAnsi="Arial" w:cs="Arial"/>
        </w:rPr>
        <w:t>Kupující je oprávněn odstoupit od této kupní smlouvy pouze v souladu s ustanovením § 2001 a násl. zákona č. 89/2012 Sb.</w:t>
      </w:r>
    </w:p>
    <w:p w:rsidR="005F57E8" w:rsidRDefault="001B4BC6" w:rsidP="005F57E8">
      <w:pPr>
        <w:pStyle w:val="Odstavecseseznamem"/>
        <w:numPr>
          <w:ilvl w:val="0"/>
          <w:numId w:val="6"/>
        </w:numPr>
        <w:spacing w:after="240" w:line="240" w:lineRule="auto"/>
        <w:jc w:val="both"/>
        <w:rPr>
          <w:rFonts w:ascii="Arial" w:hAnsi="Arial" w:cs="Arial"/>
        </w:rPr>
      </w:pPr>
      <w:r>
        <w:rPr>
          <w:rFonts w:ascii="Arial" w:hAnsi="Arial" w:cs="Arial"/>
        </w:rPr>
        <w:t xml:space="preserve">Pokud kupující neuhradí kupní cenu řádně a včas, má </w:t>
      </w:r>
      <w:r>
        <w:rPr>
          <w:rFonts w:ascii="Arial" w:hAnsi="Arial" w:cs="Arial"/>
        </w:rPr>
        <w:t>prodávající právo v souladu s ustanovením § 1977 zákona č. 89/2012 Sb. od smlouvy odstoupit, pokud to kupujícímu (prodlévajícímu) oznámí bez zbytečného odkladu poté, co se o prodlení dozvěděl.</w:t>
      </w:r>
    </w:p>
    <w:p w:rsidR="005F57E8" w:rsidRDefault="001B4BC6" w:rsidP="005F57E8">
      <w:pPr>
        <w:pStyle w:val="Odstavecseseznamem"/>
        <w:numPr>
          <w:ilvl w:val="0"/>
          <w:numId w:val="6"/>
        </w:numPr>
        <w:spacing w:after="240" w:line="240" w:lineRule="auto"/>
        <w:jc w:val="both"/>
        <w:rPr>
          <w:rFonts w:ascii="Arial" w:hAnsi="Arial" w:cs="Arial"/>
        </w:rPr>
      </w:pPr>
      <w:r>
        <w:rPr>
          <w:rFonts w:ascii="Arial" w:hAnsi="Arial" w:cs="Arial"/>
        </w:rPr>
        <w:t>Prodávající je též oprávněn od této smlouvy odstoupit, jestliže</w:t>
      </w:r>
      <w:r>
        <w:rPr>
          <w:rFonts w:ascii="Arial" w:hAnsi="Arial" w:cs="Arial"/>
        </w:rPr>
        <w:t xml:space="preserve"> se prokáže, že prohlášení kupujícího uvedená v Čl. V. nejsou pravdivá, úplná nebo přesná.</w:t>
      </w:r>
    </w:p>
    <w:p w:rsidR="005F57E8" w:rsidRDefault="005F57E8" w:rsidP="005F57E8">
      <w:pPr>
        <w:pStyle w:val="Odstavecseseznamem"/>
        <w:spacing w:after="240" w:line="240" w:lineRule="auto"/>
        <w:ind w:left="360"/>
        <w:jc w:val="both"/>
        <w:rPr>
          <w:rFonts w:ascii="Arial" w:hAnsi="Arial" w:cs="Arial"/>
        </w:rPr>
      </w:pPr>
    </w:p>
    <w:p w:rsidR="005F57E8" w:rsidRDefault="001B4BC6" w:rsidP="005F57E8">
      <w:pPr>
        <w:spacing w:after="240"/>
        <w:jc w:val="center"/>
        <w:rPr>
          <w:rFonts w:ascii="Arial" w:hAnsi="Arial" w:cs="Arial"/>
          <w:b/>
        </w:rPr>
      </w:pPr>
      <w:r>
        <w:rPr>
          <w:rFonts w:ascii="Arial" w:hAnsi="Arial" w:cs="Arial"/>
          <w:b/>
        </w:rPr>
        <w:t>Čl. VIII.</w:t>
      </w:r>
    </w:p>
    <w:p w:rsidR="005F57E8" w:rsidRDefault="001B4BC6" w:rsidP="005F57E8">
      <w:pPr>
        <w:pStyle w:val="Odstavecseseznamem"/>
        <w:numPr>
          <w:ilvl w:val="0"/>
          <w:numId w:val="7"/>
        </w:numPr>
        <w:spacing w:after="240" w:line="240" w:lineRule="auto"/>
        <w:jc w:val="both"/>
        <w:rPr>
          <w:rFonts w:ascii="Arial" w:hAnsi="Arial" w:cs="Arial"/>
        </w:rPr>
      </w:pPr>
      <w:r>
        <w:rPr>
          <w:rFonts w:ascii="Arial" w:hAnsi="Arial" w:cs="Arial"/>
        </w:rPr>
        <w:t>Odstoupení od této smlouvy kteroukoliv ze smluvních stran se nedotýká povinnosti kupujícího zaplatit peněžitá plnění (zejm. úroky z prodlení, smluvní poku</w:t>
      </w:r>
      <w:r>
        <w:rPr>
          <w:rFonts w:ascii="Arial" w:hAnsi="Arial" w:cs="Arial"/>
        </w:rPr>
        <w:t>ty), na jejichž úhradu dle této smlouvy vznikl prodávajícímu nárok do data účinnosti odstoupení.</w:t>
      </w:r>
    </w:p>
    <w:p w:rsidR="005F57E8" w:rsidRDefault="001B4BC6" w:rsidP="005F57E8">
      <w:pPr>
        <w:pStyle w:val="Odstavecseseznamem"/>
        <w:numPr>
          <w:ilvl w:val="0"/>
          <w:numId w:val="7"/>
        </w:numPr>
        <w:spacing w:after="240" w:line="240" w:lineRule="auto"/>
        <w:jc w:val="both"/>
        <w:rPr>
          <w:rFonts w:ascii="Arial" w:hAnsi="Arial" w:cs="Arial"/>
        </w:rPr>
      </w:pPr>
      <w:r>
        <w:rPr>
          <w:rFonts w:ascii="Arial" w:hAnsi="Arial" w:cs="Arial"/>
        </w:rPr>
        <w:lastRenderedPageBreak/>
        <w:t>Odstoupení od smlouvy musí být v písemné formě a nabývá účinnosti dnem doručení druhé straně. Odstoupením se závazky z této smlouvy ruší od počátku a smluvní s</w:t>
      </w:r>
      <w:r>
        <w:rPr>
          <w:rFonts w:ascii="Arial" w:hAnsi="Arial" w:cs="Arial"/>
        </w:rPr>
        <w:t>trany si vrátí vše, co si splnily, kromě peněžitých plnění (např. úroků z prodlení, smluvních pokut), na jejichž úhradu vznikl prodávajícímu nárok do data účinnosti odstoupení.</w:t>
      </w:r>
    </w:p>
    <w:p w:rsidR="005F57E8" w:rsidRDefault="001B4BC6" w:rsidP="005F57E8">
      <w:pPr>
        <w:pStyle w:val="Odstavecseseznamem"/>
        <w:numPr>
          <w:ilvl w:val="0"/>
          <w:numId w:val="7"/>
        </w:numPr>
        <w:spacing w:after="240" w:line="240" w:lineRule="auto"/>
        <w:jc w:val="both"/>
        <w:rPr>
          <w:rFonts w:ascii="Arial" w:hAnsi="Arial" w:cs="Arial"/>
        </w:rPr>
      </w:pPr>
      <w:r>
        <w:rPr>
          <w:rFonts w:ascii="Arial" w:hAnsi="Arial" w:cs="Arial"/>
        </w:rPr>
        <w:t>Pokud dojde k odstoupení od smlouvy a kupní cena již byla zaplacena, má prodáva</w:t>
      </w:r>
      <w:r>
        <w:rPr>
          <w:rFonts w:ascii="Arial" w:hAnsi="Arial" w:cs="Arial"/>
        </w:rPr>
        <w:t xml:space="preserve">jící povinnost do </w:t>
      </w:r>
      <w:r w:rsidR="00A12D16">
        <w:rPr>
          <w:rFonts w:ascii="Arial" w:hAnsi="Arial" w:cs="Arial"/>
        </w:rPr>
        <w:t>30</w:t>
      </w:r>
      <w:bookmarkStart w:id="1" w:name="_GoBack"/>
      <w:bookmarkEnd w:id="1"/>
      <w:r>
        <w:rPr>
          <w:rFonts w:ascii="Arial" w:hAnsi="Arial" w:cs="Arial"/>
        </w:rPr>
        <w:t xml:space="preserve"> dnů od účinků odstoupení vrátit kupní cenu sníženou o:</w:t>
      </w:r>
    </w:p>
    <w:p w:rsidR="005F57E8" w:rsidRDefault="001B4BC6" w:rsidP="005F57E8">
      <w:pPr>
        <w:pStyle w:val="Odstavecseseznamem"/>
        <w:numPr>
          <w:ilvl w:val="0"/>
          <w:numId w:val="8"/>
        </w:numPr>
        <w:spacing w:after="240" w:line="240" w:lineRule="auto"/>
        <w:jc w:val="both"/>
        <w:rPr>
          <w:rFonts w:ascii="Arial" w:hAnsi="Arial" w:cs="Arial"/>
        </w:rPr>
      </w:pPr>
      <w:r>
        <w:rPr>
          <w:rFonts w:ascii="Arial" w:hAnsi="Arial" w:cs="Arial"/>
        </w:rPr>
        <w:t>vyúčtované smluvní pokuty a úroky z prodlení</w:t>
      </w:r>
    </w:p>
    <w:p w:rsidR="005F57E8" w:rsidRDefault="001B4BC6" w:rsidP="005F57E8">
      <w:pPr>
        <w:pStyle w:val="Odstavecseseznamem"/>
        <w:spacing w:after="240" w:line="240" w:lineRule="auto"/>
        <w:ind w:left="360"/>
        <w:jc w:val="both"/>
        <w:rPr>
          <w:rFonts w:ascii="Arial" w:hAnsi="Arial" w:cs="Arial"/>
        </w:rPr>
      </w:pPr>
      <w:r>
        <w:rPr>
          <w:rFonts w:ascii="Arial" w:hAnsi="Arial" w:cs="Arial"/>
        </w:rPr>
        <w:t>na účet kupujícího.</w:t>
      </w:r>
    </w:p>
    <w:p w:rsidR="005F57E8" w:rsidRDefault="001B4BC6" w:rsidP="005F57E8">
      <w:pPr>
        <w:pStyle w:val="Odstavecseseznamem"/>
        <w:numPr>
          <w:ilvl w:val="0"/>
          <w:numId w:val="7"/>
        </w:numPr>
        <w:spacing w:after="240" w:line="240" w:lineRule="auto"/>
        <w:jc w:val="both"/>
        <w:rPr>
          <w:rFonts w:ascii="Arial" w:hAnsi="Arial" w:cs="Arial"/>
        </w:rPr>
      </w:pPr>
      <w:r>
        <w:rPr>
          <w:rFonts w:ascii="Arial" w:hAnsi="Arial" w:cs="Arial"/>
        </w:rPr>
        <w:t>Nebyla-li kupní cena dosud uhrazena a od kupní smlouvy odstoupil prodávající, má kupující povinnost vyúčtované sml</w:t>
      </w:r>
      <w:r>
        <w:rPr>
          <w:rFonts w:ascii="Arial" w:hAnsi="Arial" w:cs="Arial"/>
        </w:rPr>
        <w:t xml:space="preserve">uvní pokuty, úroky z prodlení, pokud vznikly podle této smlouvy, uhradit prodávajícímu ve lhůtě, která bude kupujícímu oznámena ve výzvě prodávajícího k zaplacení, přičemž tato lhůta nebude kratší než 15 dnů ode dne odeslání výzvy k úhradě. </w:t>
      </w:r>
    </w:p>
    <w:p w:rsidR="005F57E8" w:rsidRDefault="005F57E8" w:rsidP="005F57E8">
      <w:pPr>
        <w:pStyle w:val="Odstavecseseznamem"/>
        <w:spacing w:after="240" w:line="240" w:lineRule="auto"/>
        <w:ind w:left="360"/>
        <w:jc w:val="both"/>
        <w:rPr>
          <w:rFonts w:ascii="Arial" w:hAnsi="Arial" w:cs="Arial"/>
        </w:rPr>
      </w:pPr>
    </w:p>
    <w:p w:rsidR="005F57E8" w:rsidRDefault="001B4BC6" w:rsidP="005F57E8">
      <w:pPr>
        <w:spacing w:after="240"/>
        <w:jc w:val="center"/>
        <w:rPr>
          <w:rFonts w:ascii="Arial" w:hAnsi="Arial" w:cs="Arial"/>
          <w:b/>
        </w:rPr>
      </w:pPr>
      <w:r>
        <w:rPr>
          <w:rFonts w:ascii="Arial" w:hAnsi="Arial" w:cs="Arial"/>
          <w:b/>
        </w:rPr>
        <w:t>Čl. IX.</w:t>
      </w:r>
    </w:p>
    <w:p w:rsidR="005F57E8" w:rsidRDefault="001B4BC6" w:rsidP="005F57E8">
      <w:pPr>
        <w:pStyle w:val="Odstavecseseznamem"/>
        <w:numPr>
          <w:ilvl w:val="0"/>
          <w:numId w:val="9"/>
        </w:numPr>
        <w:spacing w:after="240" w:line="240" w:lineRule="auto"/>
        <w:jc w:val="both"/>
        <w:rPr>
          <w:rFonts w:ascii="Arial" w:hAnsi="Arial" w:cs="Arial"/>
        </w:rPr>
      </w:pPr>
      <w:r>
        <w:rPr>
          <w:rFonts w:ascii="Arial" w:hAnsi="Arial" w:cs="Arial"/>
        </w:rPr>
        <w:t>Vlast</w:t>
      </w:r>
      <w:r>
        <w:rPr>
          <w:rFonts w:ascii="Arial" w:hAnsi="Arial" w:cs="Arial"/>
        </w:rPr>
        <w:t xml:space="preserve">nické právo k převáděnému majetku nabývá kupující zápisem do katastru nemovitostí. Právní účinky zápisu nastanou k okamžiku podání návrhu na vklad katastrálnímu úřadu. Tímto dnem na kupujícího přecházejí veškerá práva a povinnosti spojené s vlastnictvím a </w:t>
      </w:r>
      <w:r>
        <w:rPr>
          <w:rFonts w:ascii="Arial" w:hAnsi="Arial" w:cs="Arial"/>
        </w:rPr>
        <w:t>užíváním převáděného majetku.</w:t>
      </w:r>
    </w:p>
    <w:p w:rsidR="005F57E8" w:rsidRDefault="001B4BC6" w:rsidP="005F57E8">
      <w:pPr>
        <w:pStyle w:val="Odstavecseseznamem"/>
        <w:numPr>
          <w:ilvl w:val="0"/>
          <w:numId w:val="9"/>
        </w:numPr>
        <w:spacing w:after="240" w:line="240" w:lineRule="auto"/>
        <w:jc w:val="both"/>
        <w:rPr>
          <w:rFonts w:ascii="Arial" w:hAnsi="Arial" w:cs="Arial"/>
        </w:rPr>
      </w:pPr>
      <w:r>
        <w:rPr>
          <w:rFonts w:ascii="Arial" w:hAnsi="Arial" w:cs="Arial"/>
        </w:rPr>
        <w:t>Prodávající zašle nepodepsaný návrh na zápis vkladu vlastnického práva do katastru nemovitostí kupujícímu spolu s výzvou k úhradě kupní ceny nebo jejího doplatku. Návrh na zápis vkladu vlastnického práva do katastru nemovitost</w:t>
      </w:r>
      <w:r>
        <w:rPr>
          <w:rFonts w:ascii="Arial" w:hAnsi="Arial" w:cs="Arial"/>
        </w:rPr>
        <w:t>í podají prodávající a kupující společně prostřednictvím prodávajícího, a to bez zbytečného odkladu po úplném zaplacení kupní ceny včetně příslušenství a případných smluvních pokut a všech ostatních případných dluhů kupujícího vůči prodávajícímu, nebo po d</w:t>
      </w:r>
      <w:r>
        <w:rPr>
          <w:rFonts w:ascii="Arial" w:hAnsi="Arial" w:cs="Arial"/>
        </w:rPr>
        <w:t>oručení návrhu na zápis vkladu podepsaného kupujícím zpět prodávajícímu podle toho, která z těchto skutečností nastane později. Náklady na správní poplatky spojené s touto smlouvou a s vkladem vlastnického práva do katastru nemovitostí nese kupující.</w:t>
      </w:r>
    </w:p>
    <w:p w:rsidR="005F57E8" w:rsidRDefault="001B4BC6" w:rsidP="005F57E8">
      <w:pPr>
        <w:pStyle w:val="Odstavecseseznamem"/>
        <w:numPr>
          <w:ilvl w:val="0"/>
          <w:numId w:val="9"/>
        </w:numPr>
        <w:spacing w:after="240" w:line="240" w:lineRule="auto"/>
        <w:jc w:val="both"/>
        <w:rPr>
          <w:rFonts w:ascii="Arial" w:hAnsi="Arial" w:cs="Arial"/>
        </w:rPr>
      </w:pPr>
      <w:r>
        <w:rPr>
          <w:rFonts w:ascii="Arial" w:hAnsi="Arial" w:cs="Arial"/>
        </w:rPr>
        <w:t>Pokud</w:t>
      </w:r>
      <w:r>
        <w:rPr>
          <w:rFonts w:ascii="Arial" w:hAnsi="Arial" w:cs="Arial"/>
        </w:rPr>
        <w:t xml:space="preserve"> by příslušným katastrálním úřadem byl návrh na zápis vkladu vlastnického práva k prodávanému převáděnému majetku dle této smlouvy pro kupujícího pravomocně zamítnut, účastníci této smlouvy se zavazují k součinnosti směřující k naplnění vůle obou smluvních</w:t>
      </w:r>
      <w:r>
        <w:rPr>
          <w:rFonts w:ascii="Arial" w:hAnsi="Arial" w:cs="Arial"/>
        </w:rPr>
        <w:t xml:space="preserve"> stran.</w:t>
      </w:r>
    </w:p>
    <w:p w:rsidR="005F57E8" w:rsidRDefault="001B4BC6" w:rsidP="005F57E8">
      <w:pPr>
        <w:pStyle w:val="Odstavecseseznamem"/>
        <w:numPr>
          <w:ilvl w:val="0"/>
          <w:numId w:val="9"/>
        </w:numPr>
        <w:spacing w:after="240" w:line="240" w:lineRule="auto"/>
        <w:jc w:val="both"/>
        <w:rPr>
          <w:rFonts w:ascii="Arial" w:hAnsi="Arial" w:cs="Arial"/>
        </w:rPr>
      </w:pPr>
      <w:r>
        <w:rPr>
          <w:rFonts w:ascii="Arial" w:hAnsi="Arial" w:cs="Arial"/>
        </w:rPr>
        <w:t>Pro případ, že vklad vlastnického práva k prodávanému převáděnému majetku podle této smlouvy pro kupujícího nebude příslušným katastrálním úřadem ani po součinnosti stran podle odstavce 3 povolen, smluvní strany si sjednávají rozvazovací podmínku t</w:t>
      </w:r>
      <w:r>
        <w:rPr>
          <w:rFonts w:ascii="Arial" w:hAnsi="Arial" w:cs="Arial"/>
        </w:rPr>
        <w:t>ak, že se tato kupní smlouva ruší od počátku. Prodávající se zavazuje písemně oznámit kupujícímu naplnění této rozvazovací podmínky této kupní smlouvy bezodkladně po jejím vzniku. Kupní cena bude kupujícímu vrácena do 30 dnů od naplnění této rozvazovací po</w:t>
      </w:r>
      <w:r>
        <w:rPr>
          <w:rFonts w:ascii="Arial" w:hAnsi="Arial" w:cs="Arial"/>
        </w:rPr>
        <w:t>dmínky.</w:t>
      </w:r>
    </w:p>
    <w:p w:rsidR="005F57E8" w:rsidRDefault="001B4BC6" w:rsidP="005F57E8">
      <w:pPr>
        <w:spacing w:after="240"/>
        <w:jc w:val="center"/>
        <w:rPr>
          <w:rFonts w:ascii="Arial" w:hAnsi="Arial" w:cs="Arial"/>
          <w:b/>
        </w:rPr>
      </w:pPr>
      <w:r>
        <w:rPr>
          <w:rFonts w:ascii="Arial" w:hAnsi="Arial" w:cs="Arial"/>
          <w:b/>
        </w:rPr>
        <w:t>Čl. X.</w:t>
      </w:r>
    </w:p>
    <w:p w:rsidR="005F57E8" w:rsidRDefault="001B4BC6" w:rsidP="005F57E8">
      <w:pPr>
        <w:pStyle w:val="Odstavecseseznamem"/>
        <w:spacing w:after="240" w:line="240" w:lineRule="auto"/>
        <w:ind w:left="360"/>
        <w:jc w:val="both"/>
        <w:rPr>
          <w:rFonts w:ascii="Arial" w:hAnsi="Arial" w:cs="Arial"/>
          <w:i/>
          <w:color w:val="0070C0"/>
        </w:rPr>
      </w:pPr>
      <w:r>
        <w:rPr>
          <w:rFonts w:ascii="Arial" w:hAnsi="Arial" w:cs="Arial"/>
          <w:i/>
          <w:color w:val="0070C0"/>
        </w:rPr>
        <w:t>Registr smluv NE:</w:t>
      </w:r>
    </w:p>
    <w:p w:rsidR="005F57E8" w:rsidRDefault="001B4BC6" w:rsidP="005F57E8">
      <w:pPr>
        <w:pStyle w:val="Odstavecseseznamem"/>
        <w:numPr>
          <w:ilvl w:val="0"/>
          <w:numId w:val="10"/>
        </w:numPr>
        <w:spacing w:after="240" w:line="240" w:lineRule="auto"/>
        <w:jc w:val="both"/>
        <w:rPr>
          <w:rFonts w:ascii="Arial" w:hAnsi="Arial" w:cs="Arial"/>
        </w:rPr>
      </w:pPr>
      <w:r>
        <w:rPr>
          <w:rFonts w:ascii="Arial" w:hAnsi="Arial" w:cs="Arial"/>
        </w:rPr>
        <w:t xml:space="preserve">Smlouva je uzavřena okamžikem podpisu poslední smluvní stranou. Smlouva nabývá platnosti a účinnosti dnem schválení příslušným ministerstvem podle ustanovení § 22 zákona č. 219/2000 Sb.   </w:t>
      </w:r>
    </w:p>
    <w:p w:rsidR="005F57E8" w:rsidRDefault="001B4BC6" w:rsidP="005F57E8">
      <w:pPr>
        <w:pStyle w:val="Odstavecseseznamem"/>
        <w:numPr>
          <w:ilvl w:val="0"/>
          <w:numId w:val="10"/>
        </w:numPr>
        <w:spacing w:after="240" w:line="240" w:lineRule="auto"/>
        <w:jc w:val="both"/>
        <w:rPr>
          <w:rFonts w:ascii="Arial" w:hAnsi="Arial" w:cs="Arial"/>
        </w:rPr>
      </w:pPr>
      <w:r>
        <w:rPr>
          <w:rFonts w:ascii="Arial" w:hAnsi="Arial" w:cs="Arial"/>
        </w:rPr>
        <w:t xml:space="preserve">Tato smlouva nepodléhá uveřejnění </w:t>
      </w:r>
      <w:r>
        <w:rPr>
          <w:rFonts w:ascii="Arial" w:hAnsi="Arial" w:cs="Arial"/>
        </w:rPr>
        <w:t>v registru smluv v souladu s ustanovením § 3 odst. 2 písm. h) zákona č. 340/2015 Sb., o zvláštních podmínkách účinnosti některých smluv, uveřejňování těchto smluv a o registru smluv (zákon o registru smluv), ve znění pozdějších předpisů.</w:t>
      </w:r>
    </w:p>
    <w:p w:rsidR="005F57E8" w:rsidRDefault="001B4BC6" w:rsidP="005F57E8">
      <w:pPr>
        <w:pStyle w:val="Odstavecseseznamem"/>
        <w:spacing w:after="240" w:line="240" w:lineRule="auto"/>
        <w:ind w:left="360"/>
        <w:jc w:val="both"/>
        <w:rPr>
          <w:rFonts w:ascii="Arial" w:hAnsi="Arial" w:cs="Arial"/>
          <w:i/>
          <w:color w:val="0070C0"/>
        </w:rPr>
      </w:pPr>
      <w:r>
        <w:rPr>
          <w:rFonts w:ascii="Arial" w:hAnsi="Arial" w:cs="Arial"/>
          <w:i/>
          <w:color w:val="0070C0"/>
        </w:rPr>
        <w:t xml:space="preserve">Varianta odst. 1, </w:t>
      </w:r>
      <w:r>
        <w:rPr>
          <w:rFonts w:ascii="Arial" w:hAnsi="Arial" w:cs="Arial"/>
          <w:i/>
          <w:color w:val="0070C0"/>
        </w:rPr>
        <w:t>2 - registr smluv ANO:</w:t>
      </w:r>
    </w:p>
    <w:p w:rsidR="005F57E8" w:rsidRDefault="001B4BC6" w:rsidP="005F57E8">
      <w:pPr>
        <w:pStyle w:val="Odstavecseseznamem"/>
        <w:numPr>
          <w:ilvl w:val="0"/>
          <w:numId w:val="10"/>
        </w:numPr>
        <w:spacing w:after="240" w:line="240" w:lineRule="auto"/>
        <w:jc w:val="both"/>
        <w:rPr>
          <w:rFonts w:ascii="Arial" w:hAnsi="Arial" w:cs="Arial"/>
        </w:rPr>
      </w:pPr>
      <w:r>
        <w:rPr>
          <w:rFonts w:ascii="Arial" w:hAnsi="Arial" w:cs="Arial"/>
        </w:rPr>
        <w:t xml:space="preserve">Smlouva je platně uzavřena dnem schválení příslušným ministerstvem podle ustanovení § 22 zákona č. 219/2000 Sb. </w:t>
      </w:r>
    </w:p>
    <w:p w:rsidR="005F57E8" w:rsidRDefault="001B4BC6" w:rsidP="005F57E8">
      <w:pPr>
        <w:pStyle w:val="Odstavecseseznamem"/>
        <w:numPr>
          <w:ilvl w:val="0"/>
          <w:numId w:val="10"/>
        </w:numPr>
        <w:spacing w:after="240" w:line="240" w:lineRule="auto"/>
        <w:jc w:val="both"/>
        <w:rPr>
          <w:rFonts w:ascii="Arial" w:hAnsi="Arial" w:cs="Arial"/>
        </w:rPr>
      </w:pPr>
      <w:r>
        <w:rPr>
          <w:rFonts w:ascii="Arial" w:hAnsi="Arial" w:cs="Arial"/>
        </w:rPr>
        <w:t xml:space="preserve">Smlouva nabývá účinnosti dnem uveřejnění v registru smluv v souladu se zákonem č. 340/2015 Sb., o zvláštních podmínkách </w:t>
      </w:r>
      <w:r>
        <w:rPr>
          <w:rFonts w:ascii="Arial" w:hAnsi="Arial" w:cs="Arial"/>
        </w:rPr>
        <w:t>účinnosti některých smluv, uveřejňování těchto smluv a o registru smluv (zákon o registru smluv), ve znění pozdějších předpisů. Prodávající zašle tuto smlouvu správci registru smluv k uveřejnění bez zbytečného odkladu, nejpozději však do 30 dnů od uzavření</w:t>
      </w:r>
      <w:r>
        <w:rPr>
          <w:rFonts w:ascii="Arial" w:hAnsi="Arial" w:cs="Arial"/>
        </w:rPr>
        <w:t xml:space="preserve"> smlouvy. Nemá-li kupující zřízenu datovou schránku, prodávající </w:t>
      </w:r>
      <w:r>
        <w:rPr>
          <w:rFonts w:ascii="Arial" w:hAnsi="Arial" w:cs="Arial"/>
        </w:rPr>
        <w:lastRenderedPageBreak/>
        <w:t>kupujícímu předá doklad o uveřejnění smlouvy v registru smluv podle § 5 odst. 4 zákona o registru smluv jako potvrzení skutečnosti, že smlouva nabyla účinnosti. Pro účely uveřejnění v registr</w:t>
      </w:r>
      <w:r>
        <w:rPr>
          <w:rFonts w:ascii="Arial" w:hAnsi="Arial" w:cs="Arial"/>
        </w:rPr>
        <w:t>u smluv smluvní strany navzájem prohlašují, že smlouva neobsahuje žádné obchodní tajemství.</w:t>
      </w:r>
    </w:p>
    <w:p w:rsidR="005F57E8" w:rsidRDefault="001B4BC6" w:rsidP="005F57E8">
      <w:pPr>
        <w:pStyle w:val="Odstavecseseznamem"/>
        <w:numPr>
          <w:ilvl w:val="0"/>
          <w:numId w:val="10"/>
        </w:numPr>
        <w:spacing w:after="240" w:line="240" w:lineRule="auto"/>
        <w:jc w:val="both"/>
        <w:rPr>
          <w:rFonts w:ascii="Arial" w:hAnsi="Arial" w:cs="Arial"/>
        </w:rPr>
      </w:pPr>
      <w:r>
        <w:rPr>
          <w:rFonts w:ascii="Arial" w:hAnsi="Arial" w:cs="Arial"/>
        </w:rPr>
        <w:t>Smluvní strany berou na vědomí, že jsou svými projevy vázány od okamžiku podpisu této smlouvy.</w:t>
      </w:r>
    </w:p>
    <w:p w:rsidR="005F57E8" w:rsidRDefault="001B4BC6" w:rsidP="005F57E8">
      <w:pPr>
        <w:pStyle w:val="Odstavecseseznamem"/>
        <w:numPr>
          <w:ilvl w:val="0"/>
          <w:numId w:val="10"/>
        </w:numPr>
        <w:spacing w:after="240" w:line="240" w:lineRule="auto"/>
        <w:jc w:val="both"/>
        <w:rPr>
          <w:rFonts w:ascii="Arial" w:hAnsi="Arial" w:cs="Arial"/>
        </w:rPr>
      </w:pPr>
      <w:r>
        <w:rPr>
          <w:rFonts w:ascii="Arial" w:hAnsi="Arial" w:cs="Arial"/>
        </w:rPr>
        <w:t>Smluvní strany se dohodly, že není-li v této smlouvě stanoveno jinak,</w:t>
      </w:r>
      <w:r>
        <w:rPr>
          <w:rFonts w:ascii="Arial" w:hAnsi="Arial" w:cs="Arial"/>
        </w:rPr>
        <w:t xml:space="preserve"> řídí se práva a povinnosti smluvních stran zákonem č. 89/2012 Sb. a zákonem č. 219/2000 Sb.</w:t>
      </w:r>
    </w:p>
    <w:p w:rsidR="005F57E8" w:rsidRDefault="001B4BC6" w:rsidP="005F57E8">
      <w:pPr>
        <w:pStyle w:val="Odstavecseseznamem"/>
        <w:numPr>
          <w:ilvl w:val="0"/>
          <w:numId w:val="10"/>
        </w:numPr>
        <w:spacing w:after="240" w:line="240" w:lineRule="auto"/>
        <w:jc w:val="both"/>
        <w:rPr>
          <w:rFonts w:ascii="Arial" w:hAnsi="Arial" w:cs="Arial"/>
        </w:rPr>
      </w:pPr>
      <w:r>
        <w:rPr>
          <w:rFonts w:ascii="Arial" w:hAnsi="Arial" w:cs="Arial"/>
        </w:rPr>
        <w:t>Smluvní strany se dohodly, že jakékoli změny a doplňky této smlouvy jsou možné pouze písemnou formou, v podobě oboustranně uzavřených, vzestupně číslovaných dodatk</w:t>
      </w:r>
      <w:r>
        <w:rPr>
          <w:rFonts w:ascii="Arial" w:hAnsi="Arial" w:cs="Arial"/>
        </w:rPr>
        <w:t>ů smlouvy.</w:t>
      </w:r>
    </w:p>
    <w:p w:rsidR="005F57E8" w:rsidRPr="005F57E8" w:rsidRDefault="001B4BC6" w:rsidP="005F57E8">
      <w:pPr>
        <w:pStyle w:val="Odstavecseseznamem"/>
        <w:numPr>
          <w:ilvl w:val="0"/>
          <w:numId w:val="10"/>
        </w:numPr>
        <w:spacing w:after="240" w:line="240" w:lineRule="auto"/>
        <w:jc w:val="both"/>
        <w:rPr>
          <w:rFonts w:ascii="Arial" w:hAnsi="Arial" w:cs="Arial"/>
        </w:rPr>
      </w:pPr>
      <w:r w:rsidRPr="005F57E8">
        <w:rPr>
          <w:rFonts w:ascii="Arial" w:hAnsi="Arial" w:cs="Arial"/>
        </w:rPr>
        <w:t>Tato smlouva je vyhotovena ve ……. stejnopisech. Každá ze smluvních stran obdrží po jednom vyhotovení, jedno vyhotovení bude určeno pro příslušné ministerstvo a jedno vyhotovení bude použito k zápisu vlastnického práva vkladem do katastru nemovit</w:t>
      </w:r>
      <w:r w:rsidRPr="005F57E8">
        <w:rPr>
          <w:rFonts w:ascii="Arial" w:hAnsi="Arial" w:cs="Arial"/>
        </w:rPr>
        <w:t>ostí.</w:t>
      </w:r>
    </w:p>
    <w:p w:rsidR="005F57E8" w:rsidRDefault="001B4BC6" w:rsidP="005F57E8">
      <w:pPr>
        <w:pStyle w:val="Odstavecseseznamem"/>
        <w:numPr>
          <w:ilvl w:val="0"/>
          <w:numId w:val="10"/>
        </w:numPr>
        <w:spacing w:after="240" w:line="240" w:lineRule="auto"/>
        <w:jc w:val="both"/>
        <w:rPr>
          <w:rFonts w:ascii="Arial" w:hAnsi="Arial" w:cs="Arial"/>
        </w:rPr>
      </w:pPr>
      <w:r>
        <w:rPr>
          <w:rFonts w:ascii="Arial" w:hAnsi="Arial" w:cs="Arial"/>
          <w:i/>
          <w:color w:val="0070C0"/>
        </w:rPr>
        <w:t>Je-li kupujícím obec nebo kraj:</w:t>
      </w:r>
      <w:r>
        <w:rPr>
          <w:rFonts w:ascii="Arial" w:hAnsi="Arial" w:cs="Arial"/>
        </w:rPr>
        <w:t xml:space="preserve"> Smluvní strany výslovně souhlasí s tím, aby tato smlouva ve svém úplném znění byla zveřejněna v rámci informací zpřístupňovaných veřejnosti prostřednictvím dálkového přístupu. Smluvní strany prohlašují, že skutečnosti </w:t>
      </w:r>
      <w:r>
        <w:rPr>
          <w:rFonts w:ascii="Arial" w:hAnsi="Arial" w:cs="Arial"/>
        </w:rPr>
        <w:t>uvedené v této smlouvě nepovažují za obchodní tajemství ve smyslu ustanovení § 504 zákona č. 89/2012 Sb. a udělují svolení k jejich užití a zveřejnění bez stanovení jakýchkoli dalších podmínek.</w:t>
      </w:r>
    </w:p>
    <w:p w:rsidR="005F57E8" w:rsidRDefault="001B4BC6" w:rsidP="005F57E8">
      <w:pPr>
        <w:pStyle w:val="Odstavecseseznamem"/>
        <w:numPr>
          <w:ilvl w:val="0"/>
          <w:numId w:val="10"/>
        </w:numPr>
        <w:spacing w:after="240" w:line="240" w:lineRule="auto"/>
        <w:jc w:val="both"/>
        <w:rPr>
          <w:rFonts w:ascii="Arial" w:hAnsi="Arial" w:cs="Arial"/>
        </w:rPr>
      </w:pPr>
      <w:r>
        <w:rPr>
          <w:rFonts w:ascii="Arial" w:hAnsi="Arial" w:cs="Arial"/>
        </w:rPr>
        <w:t>Smluvní strany prohlašují, že tuto smlouvu uzavřely svobodně a</w:t>
      </w:r>
      <w:r>
        <w:rPr>
          <w:rFonts w:ascii="Arial" w:hAnsi="Arial" w:cs="Arial"/>
        </w:rPr>
        <w:t xml:space="preserve"> vážně, nikoliv z přinucení nebo omylu. Na důkaz toho připojují své vlastnoruční podpisy.</w:t>
      </w:r>
    </w:p>
    <w:p w:rsidR="005F57E8" w:rsidRDefault="005F57E8" w:rsidP="005F57E8">
      <w:pPr>
        <w:spacing w:after="240"/>
        <w:jc w:val="both"/>
        <w:rPr>
          <w:rFonts w:ascii="Arial" w:hAnsi="Arial" w:cs="Arial"/>
        </w:rPr>
      </w:pPr>
    </w:p>
    <w:tbl>
      <w:tblPr>
        <w:tblW w:w="0" w:type="auto"/>
        <w:tblLook w:val="04A0" w:firstRow="1" w:lastRow="0" w:firstColumn="1" w:lastColumn="0" w:noHBand="0" w:noVBand="1"/>
      </w:tblPr>
      <w:tblGrid>
        <w:gridCol w:w="4839"/>
        <w:gridCol w:w="4799"/>
      </w:tblGrid>
      <w:tr w:rsidR="00F83CCD" w:rsidTr="005F57E8">
        <w:tc>
          <w:tcPr>
            <w:tcW w:w="4839" w:type="dxa"/>
            <w:hideMark/>
          </w:tcPr>
          <w:p w:rsidR="005F57E8" w:rsidRDefault="001B4BC6">
            <w:pPr>
              <w:pStyle w:val="vnintext"/>
              <w:spacing w:line="276" w:lineRule="auto"/>
              <w:ind w:firstLine="0"/>
              <w:rPr>
                <w:rFonts w:ascii="Arial" w:hAnsi="Arial" w:cs="Arial"/>
                <w:sz w:val="22"/>
                <w:szCs w:val="22"/>
                <w:lang w:eastAsia="en-US"/>
              </w:rPr>
            </w:pPr>
            <w:r>
              <w:rPr>
                <w:rFonts w:ascii="Arial" w:hAnsi="Arial" w:cs="Arial"/>
                <w:sz w:val="22"/>
                <w:szCs w:val="22"/>
                <w:lang w:eastAsia="en-US"/>
              </w:rPr>
              <w:t>V Lounech dne ...</w:t>
            </w:r>
          </w:p>
        </w:tc>
        <w:tc>
          <w:tcPr>
            <w:tcW w:w="4799" w:type="dxa"/>
            <w:hideMark/>
          </w:tcPr>
          <w:p w:rsidR="005F57E8" w:rsidRDefault="001B4BC6">
            <w:pPr>
              <w:pStyle w:val="vnintext"/>
              <w:spacing w:line="276" w:lineRule="auto"/>
              <w:ind w:firstLine="0"/>
              <w:rPr>
                <w:rFonts w:ascii="Arial" w:hAnsi="Arial" w:cs="Arial"/>
                <w:sz w:val="22"/>
                <w:szCs w:val="22"/>
                <w:lang w:eastAsia="en-US"/>
              </w:rPr>
            </w:pPr>
            <w:r>
              <w:rPr>
                <w:rFonts w:ascii="Arial" w:hAnsi="Arial" w:cs="Arial"/>
                <w:sz w:val="22"/>
                <w:szCs w:val="22"/>
                <w:lang w:eastAsia="en-US"/>
              </w:rPr>
              <w:t>V ... dne ...</w:t>
            </w:r>
          </w:p>
        </w:tc>
      </w:tr>
      <w:tr w:rsidR="00F83CCD" w:rsidTr="005F57E8">
        <w:trPr>
          <w:trHeight w:val="80"/>
        </w:trPr>
        <w:tc>
          <w:tcPr>
            <w:tcW w:w="4839" w:type="dxa"/>
            <w:hideMark/>
          </w:tcPr>
          <w:p w:rsidR="005F57E8" w:rsidRDefault="001B4BC6">
            <w:pPr>
              <w:pStyle w:val="vnintext"/>
              <w:spacing w:line="276" w:lineRule="auto"/>
              <w:ind w:firstLine="0"/>
              <w:rPr>
                <w:rFonts w:ascii="Arial" w:hAnsi="Arial" w:cs="Arial"/>
                <w:sz w:val="22"/>
                <w:szCs w:val="22"/>
                <w:lang w:eastAsia="en-US"/>
              </w:rPr>
            </w:pPr>
            <w:r>
              <w:rPr>
                <w:rFonts w:ascii="Arial" w:hAnsi="Arial" w:cs="Arial"/>
                <w:sz w:val="22"/>
                <w:szCs w:val="22"/>
                <w:lang w:eastAsia="en-US"/>
              </w:rPr>
              <w:t xml:space="preserve"> </w:t>
            </w:r>
          </w:p>
        </w:tc>
        <w:tc>
          <w:tcPr>
            <w:tcW w:w="4799" w:type="dxa"/>
            <w:hideMark/>
          </w:tcPr>
          <w:p w:rsidR="005F57E8" w:rsidRDefault="005F57E8">
            <w:pPr>
              <w:rPr>
                <w:rFonts w:ascii="Arial" w:hAnsi="Arial" w:cs="Arial"/>
                <w:sz w:val="22"/>
                <w:szCs w:val="22"/>
                <w:lang w:eastAsia="en-US"/>
              </w:rPr>
            </w:pPr>
          </w:p>
        </w:tc>
      </w:tr>
      <w:tr w:rsidR="00F83CCD" w:rsidTr="005F57E8">
        <w:trPr>
          <w:trHeight w:val="80"/>
        </w:trPr>
        <w:tc>
          <w:tcPr>
            <w:tcW w:w="4839" w:type="dxa"/>
            <w:hideMark/>
          </w:tcPr>
          <w:p w:rsidR="005F57E8" w:rsidRDefault="001B4BC6">
            <w:pPr>
              <w:pStyle w:val="vnintext"/>
              <w:spacing w:line="276" w:lineRule="auto"/>
              <w:ind w:firstLine="0"/>
              <w:jc w:val="left"/>
              <w:rPr>
                <w:rFonts w:ascii="Arial" w:hAnsi="Arial" w:cs="Arial"/>
                <w:sz w:val="22"/>
                <w:szCs w:val="22"/>
                <w:lang w:eastAsia="en-US"/>
              </w:rPr>
            </w:pPr>
            <w:r>
              <w:rPr>
                <w:rFonts w:ascii="Arial" w:hAnsi="Arial" w:cs="Arial"/>
                <w:b/>
                <w:sz w:val="22"/>
                <w:szCs w:val="22"/>
                <w:lang w:eastAsia="en-US"/>
              </w:rPr>
              <w:t>Česká republika - Úřad pro zastupování státu ve věcech majetkových</w:t>
            </w:r>
          </w:p>
        </w:tc>
        <w:tc>
          <w:tcPr>
            <w:tcW w:w="4799" w:type="dxa"/>
            <w:hideMark/>
          </w:tcPr>
          <w:p w:rsidR="005F57E8" w:rsidRDefault="001B4BC6">
            <w:pPr>
              <w:pStyle w:val="vnintext"/>
              <w:spacing w:line="276" w:lineRule="auto"/>
              <w:ind w:firstLine="0"/>
              <w:rPr>
                <w:rFonts w:ascii="Arial" w:hAnsi="Arial" w:cs="Arial"/>
                <w:b/>
                <w:sz w:val="22"/>
                <w:szCs w:val="22"/>
                <w:lang w:eastAsia="en-US"/>
              </w:rPr>
            </w:pPr>
            <w:r>
              <w:rPr>
                <w:rFonts w:ascii="Arial" w:hAnsi="Arial" w:cs="Arial"/>
                <w:b/>
                <w:sz w:val="22"/>
                <w:szCs w:val="22"/>
                <w:lang w:eastAsia="en-US"/>
              </w:rPr>
              <w:t>AB</w:t>
            </w:r>
          </w:p>
        </w:tc>
      </w:tr>
      <w:tr w:rsidR="00F83CCD" w:rsidTr="005F57E8">
        <w:trPr>
          <w:trHeight w:val="1546"/>
        </w:trPr>
        <w:tc>
          <w:tcPr>
            <w:tcW w:w="4839" w:type="dxa"/>
            <w:hideMark/>
          </w:tcPr>
          <w:p w:rsidR="005F57E8" w:rsidRDefault="001B4BC6">
            <w:pPr>
              <w:pStyle w:val="vnintext"/>
              <w:spacing w:line="276" w:lineRule="auto"/>
              <w:ind w:firstLine="0"/>
              <w:jc w:val="left"/>
              <w:rPr>
                <w:rFonts w:ascii="Arial" w:hAnsi="Arial" w:cs="Arial"/>
                <w:b/>
                <w:sz w:val="22"/>
                <w:szCs w:val="22"/>
                <w:lang w:eastAsia="en-US"/>
              </w:rPr>
            </w:pPr>
            <w:r>
              <w:rPr>
                <w:rFonts w:ascii="Arial" w:hAnsi="Arial" w:cs="Arial"/>
                <w:b/>
                <w:sz w:val="22"/>
                <w:szCs w:val="22"/>
                <w:lang w:eastAsia="en-US"/>
              </w:rPr>
              <w:t xml:space="preserve"> </w:t>
            </w:r>
          </w:p>
        </w:tc>
        <w:tc>
          <w:tcPr>
            <w:tcW w:w="4799" w:type="dxa"/>
          </w:tcPr>
          <w:p w:rsidR="005F57E8" w:rsidRDefault="005F57E8">
            <w:pPr>
              <w:pStyle w:val="vnintext"/>
              <w:spacing w:line="276" w:lineRule="auto"/>
              <w:ind w:firstLine="0"/>
              <w:rPr>
                <w:rFonts w:ascii="Arial" w:hAnsi="Arial" w:cs="Arial"/>
                <w:sz w:val="22"/>
                <w:szCs w:val="22"/>
                <w:lang w:eastAsia="en-US"/>
              </w:rPr>
            </w:pPr>
          </w:p>
        </w:tc>
      </w:tr>
      <w:tr w:rsidR="00F83CCD" w:rsidTr="005F57E8">
        <w:trPr>
          <w:trHeight w:val="35"/>
        </w:trPr>
        <w:tc>
          <w:tcPr>
            <w:tcW w:w="4839" w:type="dxa"/>
            <w:hideMark/>
          </w:tcPr>
          <w:p w:rsidR="005F57E8" w:rsidRDefault="001B4BC6">
            <w:pPr>
              <w:pStyle w:val="vnintext"/>
              <w:spacing w:line="276" w:lineRule="auto"/>
              <w:ind w:firstLine="0"/>
              <w:jc w:val="center"/>
              <w:rPr>
                <w:rFonts w:ascii="Arial" w:hAnsi="Arial" w:cs="Arial"/>
                <w:szCs w:val="22"/>
                <w:lang w:eastAsia="en-US"/>
              </w:rPr>
            </w:pPr>
            <w:r>
              <w:rPr>
                <w:rFonts w:ascii="Arial" w:hAnsi="Arial" w:cs="Arial"/>
                <w:sz w:val="22"/>
                <w:szCs w:val="22"/>
                <w:lang w:eastAsia="en-US"/>
              </w:rPr>
              <w:t>......................................................</w:t>
            </w:r>
          </w:p>
        </w:tc>
        <w:tc>
          <w:tcPr>
            <w:tcW w:w="4799" w:type="dxa"/>
            <w:hideMark/>
          </w:tcPr>
          <w:p w:rsidR="005F57E8" w:rsidRDefault="001B4BC6">
            <w:pPr>
              <w:pStyle w:val="vnintext"/>
              <w:spacing w:line="276" w:lineRule="auto"/>
              <w:ind w:firstLine="0"/>
              <w:jc w:val="center"/>
              <w:rPr>
                <w:rFonts w:ascii="Arial" w:hAnsi="Arial" w:cs="Arial"/>
                <w:szCs w:val="22"/>
                <w:lang w:eastAsia="en-US"/>
              </w:rPr>
            </w:pPr>
            <w:r>
              <w:rPr>
                <w:rFonts w:ascii="Arial" w:hAnsi="Arial" w:cs="Arial"/>
                <w:sz w:val="22"/>
                <w:szCs w:val="22"/>
                <w:lang w:eastAsia="en-US"/>
              </w:rPr>
              <w:t>......................................................</w:t>
            </w:r>
          </w:p>
        </w:tc>
      </w:tr>
      <w:tr w:rsidR="00F83CCD" w:rsidTr="005F57E8">
        <w:trPr>
          <w:trHeight w:val="80"/>
        </w:trPr>
        <w:tc>
          <w:tcPr>
            <w:tcW w:w="4839" w:type="dxa"/>
            <w:hideMark/>
          </w:tcPr>
          <w:p w:rsidR="005F57E8" w:rsidRDefault="001B4BC6">
            <w:pPr>
              <w:pStyle w:val="vnintext"/>
              <w:spacing w:line="276" w:lineRule="auto"/>
              <w:ind w:firstLine="0"/>
              <w:jc w:val="center"/>
              <w:rPr>
                <w:rFonts w:ascii="Arial" w:hAnsi="Arial" w:cs="Arial"/>
                <w:b/>
                <w:sz w:val="22"/>
                <w:szCs w:val="22"/>
                <w:lang w:eastAsia="en-US"/>
              </w:rPr>
            </w:pPr>
            <w:r>
              <w:rPr>
                <w:rFonts w:ascii="Arial" w:hAnsi="Arial" w:cs="Arial"/>
                <w:b/>
                <w:sz w:val="22"/>
                <w:szCs w:val="22"/>
                <w:lang w:eastAsia="en-US"/>
              </w:rPr>
              <w:t>Ing. Marie Popová</w:t>
            </w:r>
          </w:p>
          <w:p w:rsidR="005F57E8" w:rsidRDefault="001B4BC6">
            <w:pPr>
              <w:pStyle w:val="vnintext"/>
              <w:spacing w:line="276" w:lineRule="auto"/>
              <w:ind w:firstLine="0"/>
              <w:jc w:val="center"/>
              <w:rPr>
                <w:rFonts w:ascii="Arial" w:hAnsi="Arial" w:cs="Arial"/>
                <w:szCs w:val="22"/>
                <w:lang w:eastAsia="en-US"/>
              </w:rPr>
            </w:pPr>
            <w:r>
              <w:rPr>
                <w:rFonts w:ascii="Arial" w:hAnsi="Arial" w:cs="Arial"/>
                <w:sz w:val="22"/>
                <w:szCs w:val="22"/>
                <w:lang w:eastAsia="en-US"/>
              </w:rPr>
              <w:t>vedoucí samostatného oddělení Louny</w:t>
            </w:r>
          </w:p>
        </w:tc>
        <w:tc>
          <w:tcPr>
            <w:tcW w:w="4799" w:type="dxa"/>
            <w:hideMark/>
          </w:tcPr>
          <w:p w:rsidR="005F57E8" w:rsidRDefault="001B4BC6">
            <w:pPr>
              <w:pStyle w:val="vnintext"/>
              <w:spacing w:line="276" w:lineRule="auto"/>
              <w:ind w:firstLine="0"/>
              <w:jc w:val="center"/>
              <w:rPr>
                <w:rFonts w:ascii="Arial" w:hAnsi="Arial" w:cs="Arial"/>
                <w:b/>
                <w:strike/>
                <w:szCs w:val="22"/>
                <w:lang w:eastAsia="en-US"/>
              </w:rPr>
            </w:pPr>
            <w:r>
              <w:rPr>
                <w:rFonts w:ascii="Arial" w:hAnsi="Arial" w:cs="Arial"/>
                <w:i/>
                <w:sz w:val="22"/>
                <w:szCs w:val="22"/>
                <w:lang w:eastAsia="en-US"/>
              </w:rPr>
              <w:t xml:space="preserve">akademický titul, jméno, příjmení, vědecká hodnost, funkce opravňující k jednání nebo </w:t>
            </w:r>
            <w:r>
              <w:rPr>
                <w:rFonts w:ascii="Arial" w:hAnsi="Arial" w:cs="Arial"/>
                <w:i/>
                <w:sz w:val="22"/>
                <w:szCs w:val="22"/>
                <w:lang w:eastAsia="en-US"/>
              </w:rPr>
              <w:t>jednající na základě plné moci</w:t>
            </w:r>
          </w:p>
        </w:tc>
      </w:tr>
    </w:tbl>
    <w:p w:rsidR="005F57E8" w:rsidRDefault="005F57E8" w:rsidP="005F57E8">
      <w:pPr>
        <w:spacing w:after="240"/>
        <w:jc w:val="both"/>
        <w:rPr>
          <w:rFonts w:ascii="Arial" w:eastAsiaTheme="minorEastAsia" w:hAnsi="Arial" w:cs="Arial"/>
          <w:b/>
          <w:sz w:val="22"/>
          <w:szCs w:val="22"/>
        </w:rPr>
      </w:pPr>
    </w:p>
    <w:p w:rsidR="005F57E8" w:rsidRDefault="005F57E8" w:rsidP="005F57E8">
      <w:pPr>
        <w:spacing w:after="240"/>
        <w:jc w:val="both"/>
        <w:rPr>
          <w:rFonts w:ascii="Arial" w:hAnsi="Arial" w:cs="Arial"/>
        </w:rPr>
      </w:pPr>
    </w:p>
    <w:p w:rsidR="005F57E8" w:rsidRDefault="005F57E8" w:rsidP="005F57E8">
      <w:pPr>
        <w:rPr>
          <w:rFonts w:asciiTheme="minorHAnsi" w:hAnsiTheme="minorHAnsi" w:cstheme="minorBidi"/>
        </w:rPr>
      </w:pPr>
    </w:p>
    <w:p w:rsidR="00E07B64" w:rsidRPr="00A43C1C" w:rsidRDefault="00E07B64" w:rsidP="006B5A0C">
      <w:pPr>
        <w:rPr>
          <w:rFonts w:ascii="Arial" w:hAnsi="Arial" w:cs="Arial"/>
          <w:sz w:val="22"/>
          <w:szCs w:val="22"/>
        </w:rPr>
      </w:pPr>
    </w:p>
    <w:sectPr w:rsidR="00E07B64" w:rsidRPr="00A43C1C" w:rsidSect="00345881">
      <w:footerReference w:type="default" r:id="rId8"/>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BC6" w:rsidRDefault="001B4BC6">
      <w:r>
        <w:separator/>
      </w:r>
    </w:p>
  </w:endnote>
  <w:endnote w:type="continuationSeparator" w:id="0">
    <w:p w:rsidR="001B4BC6" w:rsidRDefault="001B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6514906"/>
      <w:docPartObj>
        <w:docPartGallery w:val="Page Numbers (Bottom of Page)"/>
        <w:docPartUnique/>
      </w:docPartObj>
    </w:sdtPr>
    <w:sdtEndPr/>
    <w:sdtContent>
      <w:p w:rsidR="005F57E8" w:rsidRDefault="001B4BC6">
        <w:pPr>
          <w:pStyle w:val="Zpat"/>
          <w:jc w:val="center"/>
        </w:pPr>
        <w:r>
          <w:fldChar w:fldCharType="begin"/>
        </w:r>
        <w:r>
          <w:instrText>PAGE   \* MERGEFORMAT</w:instrText>
        </w:r>
        <w:r>
          <w:fldChar w:fldCharType="separate"/>
        </w:r>
        <w:r>
          <w:t>5</w:t>
        </w:r>
        <w:r>
          <w:fldChar w:fldCharType="end"/>
        </w:r>
      </w:p>
    </w:sdtContent>
  </w:sdt>
  <w:p w:rsidR="005F57E8" w:rsidRDefault="005F57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BC6" w:rsidRDefault="001B4BC6">
      <w:r>
        <w:separator/>
      </w:r>
    </w:p>
  </w:footnote>
  <w:footnote w:type="continuationSeparator" w:id="0">
    <w:p w:rsidR="001B4BC6" w:rsidRDefault="001B4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8B9"/>
    <w:multiLevelType w:val="hybridMultilevel"/>
    <w:tmpl w:val="3B64DEA6"/>
    <w:lvl w:ilvl="0" w:tplc="C51E8C20">
      <w:start w:val="1"/>
      <w:numFmt w:val="decimal"/>
      <w:lvlText w:val="%1."/>
      <w:lvlJc w:val="left"/>
      <w:pPr>
        <w:ind w:left="360" w:hanging="360"/>
      </w:pPr>
    </w:lvl>
    <w:lvl w:ilvl="1" w:tplc="2814D2F2">
      <w:start w:val="1"/>
      <w:numFmt w:val="lowerLetter"/>
      <w:lvlText w:val="%2."/>
      <w:lvlJc w:val="left"/>
      <w:pPr>
        <w:ind w:left="1080" w:hanging="360"/>
      </w:pPr>
    </w:lvl>
    <w:lvl w:ilvl="2" w:tplc="03B0DB8E">
      <w:start w:val="1"/>
      <w:numFmt w:val="lowerRoman"/>
      <w:lvlText w:val="%3."/>
      <w:lvlJc w:val="right"/>
      <w:pPr>
        <w:ind w:left="1800" w:hanging="180"/>
      </w:pPr>
    </w:lvl>
    <w:lvl w:ilvl="3" w:tplc="7C4604B2">
      <w:start w:val="1"/>
      <w:numFmt w:val="decimal"/>
      <w:lvlText w:val="%4."/>
      <w:lvlJc w:val="left"/>
      <w:pPr>
        <w:ind w:left="2520" w:hanging="360"/>
      </w:pPr>
    </w:lvl>
    <w:lvl w:ilvl="4" w:tplc="6A629C40">
      <w:start w:val="1"/>
      <w:numFmt w:val="lowerLetter"/>
      <w:lvlText w:val="%5."/>
      <w:lvlJc w:val="left"/>
      <w:pPr>
        <w:ind w:left="3240" w:hanging="360"/>
      </w:pPr>
    </w:lvl>
    <w:lvl w:ilvl="5" w:tplc="B92207AA">
      <w:start w:val="1"/>
      <w:numFmt w:val="lowerRoman"/>
      <w:lvlText w:val="%6."/>
      <w:lvlJc w:val="right"/>
      <w:pPr>
        <w:ind w:left="3960" w:hanging="180"/>
      </w:pPr>
    </w:lvl>
    <w:lvl w:ilvl="6" w:tplc="56B487C8">
      <w:start w:val="1"/>
      <w:numFmt w:val="decimal"/>
      <w:lvlText w:val="%7."/>
      <w:lvlJc w:val="left"/>
      <w:pPr>
        <w:ind w:left="4680" w:hanging="360"/>
      </w:pPr>
    </w:lvl>
    <w:lvl w:ilvl="7" w:tplc="8C285670">
      <w:start w:val="1"/>
      <w:numFmt w:val="lowerLetter"/>
      <w:lvlText w:val="%8."/>
      <w:lvlJc w:val="left"/>
      <w:pPr>
        <w:ind w:left="5400" w:hanging="360"/>
      </w:pPr>
    </w:lvl>
    <w:lvl w:ilvl="8" w:tplc="9A60BA1C">
      <w:start w:val="1"/>
      <w:numFmt w:val="lowerRoman"/>
      <w:lvlText w:val="%9."/>
      <w:lvlJc w:val="right"/>
      <w:pPr>
        <w:ind w:left="6120" w:hanging="180"/>
      </w:pPr>
    </w:lvl>
  </w:abstractNum>
  <w:abstractNum w:abstractNumId="1" w15:restartNumberingAfterBreak="0">
    <w:nsid w:val="1C547E29"/>
    <w:multiLevelType w:val="hybridMultilevel"/>
    <w:tmpl w:val="984411E2"/>
    <w:lvl w:ilvl="0" w:tplc="0FDCB456">
      <w:start w:val="1"/>
      <w:numFmt w:val="decimal"/>
      <w:lvlText w:val="%1."/>
      <w:lvlJc w:val="left"/>
      <w:pPr>
        <w:ind w:left="360" w:hanging="360"/>
      </w:pPr>
    </w:lvl>
    <w:lvl w:ilvl="1" w:tplc="D6C6E830">
      <w:start w:val="1"/>
      <w:numFmt w:val="lowerLetter"/>
      <w:lvlText w:val="%2."/>
      <w:lvlJc w:val="left"/>
      <w:pPr>
        <w:ind w:left="1080" w:hanging="360"/>
      </w:pPr>
    </w:lvl>
    <w:lvl w:ilvl="2" w:tplc="077A107E">
      <w:start w:val="1"/>
      <w:numFmt w:val="lowerRoman"/>
      <w:lvlText w:val="%3."/>
      <w:lvlJc w:val="right"/>
      <w:pPr>
        <w:ind w:left="1800" w:hanging="180"/>
      </w:pPr>
    </w:lvl>
    <w:lvl w:ilvl="3" w:tplc="2CFAE4F4">
      <w:start w:val="1"/>
      <w:numFmt w:val="decimal"/>
      <w:lvlText w:val="%4."/>
      <w:lvlJc w:val="left"/>
      <w:pPr>
        <w:ind w:left="2520" w:hanging="360"/>
      </w:pPr>
    </w:lvl>
    <w:lvl w:ilvl="4" w:tplc="F7785E24">
      <w:start w:val="1"/>
      <w:numFmt w:val="lowerLetter"/>
      <w:lvlText w:val="%5."/>
      <w:lvlJc w:val="left"/>
      <w:pPr>
        <w:ind w:left="3240" w:hanging="360"/>
      </w:pPr>
    </w:lvl>
    <w:lvl w:ilvl="5" w:tplc="28968DAA">
      <w:start w:val="1"/>
      <w:numFmt w:val="lowerRoman"/>
      <w:lvlText w:val="%6."/>
      <w:lvlJc w:val="right"/>
      <w:pPr>
        <w:ind w:left="3960" w:hanging="180"/>
      </w:pPr>
    </w:lvl>
    <w:lvl w:ilvl="6" w:tplc="2FD449D4">
      <w:start w:val="1"/>
      <w:numFmt w:val="decimal"/>
      <w:lvlText w:val="%7."/>
      <w:lvlJc w:val="left"/>
      <w:pPr>
        <w:ind w:left="4680" w:hanging="360"/>
      </w:pPr>
    </w:lvl>
    <w:lvl w:ilvl="7" w:tplc="AC78E400">
      <w:start w:val="1"/>
      <w:numFmt w:val="lowerLetter"/>
      <w:lvlText w:val="%8."/>
      <w:lvlJc w:val="left"/>
      <w:pPr>
        <w:ind w:left="5400" w:hanging="360"/>
      </w:pPr>
    </w:lvl>
    <w:lvl w:ilvl="8" w:tplc="505A23C4">
      <w:start w:val="1"/>
      <w:numFmt w:val="lowerRoman"/>
      <w:lvlText w:val="%9."/>
      <w:lvlJc w:val="right"/>
      <w:pPr>
        <w:ind w:left="6120" w:hanging="180"/>
      </w:pPr>
    </w:lvl>
  </w:abstractNum>
  <w:abstractNum w:abstractNumId="2" w15:restartNumberingAfterBreak="0">
    <w:nsid w:val="1D4E6288"/>
    <w:multiLevelType w:val="hybridMultilevel"/>
    <w:tmpl w:val="9998DC44"/>
    <w:lvl w:ilvl="0" w:tplc="628CFBB2">
      <w:start w:val="1"/>
      <w:numFmt w:val="bullet"/>
      <w:lvlText w:val=""/>
      <w:lvlJc w:val="left"/>
      <w:pPr>
        <w:ind w:left="1080" w:hanging="360"/>
      </w:pPr>
      <w:rPr>
        <w:rFonts w:ascii="Symbol" w:hAnsi="Symbol" w:hint="default"/>
      </w:rPr>
    </w:lvl>
    <w:lvl w:ilvl="1" w:tplc="6368FDC2">
      <w:start w:val="1"/>
      <w:numFmt w:val="bullet"/>
      <w:lvlText w:val="o"/>
      <w:lvlJc w:val="left"/>
      <w:pPr>
        <w:ind w:left="1800" w:hanging="360"/>
      </w:pPr>
      <w:rPr>
        <w:rFonts w:ascii="Courier New" w:hAnsi="Courier New" w:cs="Courier New" w:hint="default"/>
      </w:rPr>
    </w:lvl>
    <w:lvl w:ilvl="2" w:tplc="7F3CB7F4">
      <w:start w:val="1"/>
      <w:numFmt w:val="bullet"/>
      <w:lvlText w:val=""/>
      <w:lvlJc w:val="left"/>
      <w:pPr>
        <w:ind w:left="2520" w:hanging="360"/>
      </w:pPr>
      <w:rPr>
        <w:rFonts w:ascii="Wingdings" w:hAnsi="Wingdings" w:hint="default"/>
      </w:rPr>
    </w:lvl>
    <w:lvl w:ilvl="3" w:tplc="9ADA4B9E">
      <w:start w:val="1"/>
      <w:numFmt w:val="bullet"/>
      <w:lvlText w:val=""/>
      <w:lvlJc w:val="left"/>
      <w:pPr>
        <w:ind w:left="3240" w:hanging="360"/>
      </w:pPr>
      <w:rPr>
        <w:rFonts w:ascii="Symbol" w:hAnsi="Symbol" w:hint="default"/>
      </w:rPr>
    </w:lvl>
    <w:lvl w:ilvl="4" w:tplc="6210795A">
      <w:start w:val="1"/>
      <w:numFmt w:val="bullet"/>
      <w:lvlText w:val="o"/>
      <w:lvlJc w:val="left"/>
      <w:pPr>
        <w:ind w:left="3960" w:hanging="360"/>
      </w:pPr>
      <w:rPr>
        <w:rFonts w:ascii="Courier New" w:hAnsi="Courier New" w:cs="Courier New" w:hint="default"/>
      </w:rPr>
    </w:lvl>
    <w:lvl w:ilvl="5" w:tplc="E31644DA">
      <w:start w:val="1"/>
      <w:numFmt w:val="bullet"/>
      <w:lvlText w:val=""/>
      <w:lvlJc w:val="left"/>
      <w:pPr>
        <w:ind w:left="4680" w:hanging="360"/>
      </w:pPr>
      <w:rPr>
        <w:rFonts w:ascii="Wingdings" w:hAnsi="Wingdings" w:hint="default"/>
      </w:rPr>
    </w:lvl>
    <w:lvl w:ilvl="6" w:tplc="B8367A30">
      <w:start w:val="1"/>
      <w:numFmt w:val="bullet"/>
      <w:lvlText w:val=""/>
      <w:lvlJc w:val="left"/>
      <w:pPr>
        <w:ind w:left="5400" w:hanging="360"/>
      </w:pPr>
      <w:rPr>
        <w:rFonts w:ascii="Symbol" w:hAnsi="Symbol" w:hint="default"/>
      </w:rPr>
    </w:lvl>
    <w:lvl w:ilvl="7" w:tplc="0574A80C">
      <w:start w:val="1"/>
      <w:numFmt w:val="bullet"/>
      <w:lvlText w:val="o"/>
      <w:lvlJc w:val="left"/>
      <w:pPr>
        <w:ind w:left="6120" w:hanging="360"/>
      </w:pPr>
      <w:rPr>
        <w:rFonts w:ascii="Courier New" w:hAnsi="Courier New" w:cs="Courier New" w:hint="default"/>
      </w:rPr>
    </w:lvl>
    <w:lvl w:ilvl="8" w:tplc="66C8A6FA">
      <w:start w:val="1"/>
      <w:numFmt w:val="bullet"/>
      <w:lvlText w:val=""/>
      <w:lvlJc w:val="left"/>
      <w:pPr>
        <w:ind w:left="6840" w:hanging="360"/>
      </w:pPr>
      <w:rPr>
        <w:rFonts w:ascii="Wingdings" w:hAnsi="Wingdings" w:hint="default"/>
      </w:rPr>
    </w:lvl>
  </w:abstractNum>
  <w:abstractNum w:abstractNumId="3" w15:restartNumberingAfterBreak="0">
    <w:nsid w:val="29573A7E"/>
    <w:multiLevelType w:val="hybridMultilevel"/>
    <w:tmpl w:val="BBDEB076"/>
    <w:lvl w:ilvl="0" w:tplc="BD46989E">
      <w:start w:val="1"/>
      <w:numFmt w:val="decimal"/>
      <w:lvlText w:val="%1."/>
      <w:lvlJc w:val="left"/>
      <w:pPr>
        <w:ind w:left="360" w:hanging="360"/>
      </w:pPr>
    </w:lvl>
    <w:lvl w:ilvl="1" w:tplc="5FFA51DC">
      <w:start w:val="1"/>
      <w:numFmt w:val="lowerLetter"/>
      <w:lvlText w:val="%2."/>
      <w:lvlJc w:val="left"/>
      <w:pPr>
        <w:ind w:left="1080" w:hanging="360"/>
      </w:pPr>
    </w:lvl>
    <w:lvl w:ilvl="2" w:tplc="F15AC1FE">
      <w:start w:val="1"/>
      <w:numFmt w:val="lowerRoman"/>
      <w:lvlText w:val="%3."/>
      <w:lvlJc w:val="right"/>
      <w:pPr>
        <w:ind w:left="1800" w:hanging="180"/>
      </w:pPr>
    </w:lvl>
    <w:lvl w:ilvl="3" w:tplc="A192E102">
      <w:start w:val="1"/>
      <w:numFmt w:val="decimal"/>
      <w:lvlText w:val="%4."/>
      <w:lvlJc w:val="left"/>
      <w:pPr>
        <w:ind w:left="2520" w:hanging="360"/>
      </w:pPr>
    </w:lvl>
    <w:lvl w:ilvl="4" w:tplc="9E90801A">
      <w:start w:val="1"/>
      <w:numFmt w:val="lowerLetter"/>
      <w:lvlText w:val="%5."/>
      <w:lvlJc w:val="left"/>
      <w:pPr>
        <w:ind w:left="3240" w:hanging="360"/>
      </w:pPr>
    </w:lvl>
    <w:lvl w:ilvl="5" w:tplc="F3DCF944">
      <w:start w:val="1"/>
      <w:numFmt w:val="lowerRoman"/>
      <w:lvlText w:val="%6."/>
      <w:lvlJc w:val="right"/>
      <w:pPr>
        <w:ind w:left="3960" w:hanging="180"/>
      </w:pPr>
    </w:lvl>
    <w:lvl w:ilvl="6" w:tplc="6AA4704A">
      <w:start w:val="1"/>
      <w:numFmt w:val="decimal"/>
      <w:lvlText w:val="%7."/>
      <w:lvlJc w:val="left"/>
      <w:pPr>
        <w:ind w:left="4680" w:hanging="360"/>
      </w:pPr>
    </w:lvl>
    <w:lvl w:ilvl="7" w:tplc="43580B04">
      <w:start w:val="1"/>
      <w:numFmt w:val="lowerLetter"/>
      <w:lvlText w:val="%8."/>
      <w:lvlJc w:val="left"/>
      <w:pPr>
        <w:ind w:left="5400" w:hanging="360"/>
      </w:pPr>
    </w:lvl>
    <w:lvl w:ilvl="8" w:tplc="DBA2970E">
      <w:start w:val="1"/>
      <w:numFmt w:val="lowerRoman"/>
      <w:lvlText w:val="%9."/>
      <w:lvlJc w:val="right"/>
      <w:pPr>
        <w:ind w:left="6120" w:hanging="180"/>
      </w:pPr>
    </w:lvl>
  </w:abstractNum>
  <w:abstractNum w:abstractNumId="4" w15:restartNumberingAfterBreak="0">
    <w:nsid w:val="2B6908C4"/>
    <w:multiLevelType w:val="hybridMultilevel"/>
    <w:tmpl w:val="F07C473C"/>
    <w:lvl w:ilvl="0" w:tplc="6E2878BC">
      <w:start w:val="1"/>
      <w:numFmt w:val="decimal"/>
      <w:lvlText w:val="%1."/>
      <w:lvlJc w:val="left"/>
      <w:pPr>
        <w:ind w:left="360" w:hanging="360"/>
      </w:pPr>
    </w:lvl>
    <w:lvl w:ilvl="1" w:tplc="4A7A7FF8">
      <w:start w:val="1"/>
      <w:numFmt w:val="lowerLetter"/>
      <w:lvlText w:val="%2."/>
      <w:lvlJc w:val="left"/>
      <w:pPr>
        <w:ind w:left="1080" w:hanging="360"/>
      </w:pPr>
    </w:lvl>
    <w:lvl w:ilvl="2" w:tplc="CC28C5CE">
      <w:start w:val="1"/>
      <w:numFmt w:val="lowerRoman"/>
      <w:lvlText w:val="%3."/>
      <w:lvlJc w:val="right"/>
      <w:pPr>
        <w:ind w:left="1800" w:hanging="180"/>
      </w:pPr>
    </w:lvl>
    <w:lvl w:ilvl="3" w:tplc="FEAC905E">
      <w:start w:val="1"/>
      <w:numFmt w:val="decimal"/>
      <w:lvlText w:val="%4."/>
      <w:lvlJc w:val="left"/>
      <w:pPr>
        <w:ind w:left="2520" w:hanging="360"/>
      </w:pPr>
    </w:lvl>
    <w:lvl w:ilvl="4" w:tplc="E9981490">
      <w:start w:val="1"/>
      <w:numFmt w:val="lowerLetter"/>
      <w:lvlText w:val="%5."/>
      <w:lvlJc w:val="left"/>
      <w:pPr>
        <w:ind w:left="3240" w:hanging="360"/>
      </w:pPr>
    </w:lvl>
    <w:lvl w:ilvl="5" w:tplc="1CF06744">
      <w:start w:val="1"/>
      <w:numFmt w:val="lowerRoman"/>
      <w:lvlText w:val="%6."/>
      <w:lvlJc w:val="right"/>
      <w:pPr>
        <w:ind w:left="3960" w:hanging="180"/>
      </w:pPr>
    </w:lvl>
    <w:lvl w:ilvl="6" w:tplc="05723144">
      <w:start w:val="1"/>
      <w:numFmt w:val="decimal"/>
      <w:lvlText w:val="%7."/>
      <w:lvlJc w:val="left"/>
      <w:pPr>
        <w:ind w:left="4680" w:hanging="360"/>
      </w:pPr>
    </w:lvl>
    <w:lvl w:ilvl="7" w:tplc="85A8F966">
      <w:start w:val="1"/>
      <w:numFmt w:val="lowerLetter"/>
      <w:lvlText w:val="%8."/>
      <w:lvlJc w:val="left"/>
      <w:pPr>
        <w:ind w:left="5400" w:hanging="360"/>
      </w:pPr>
    </w:lvl>
    <w:lvl w:ilvl="8" w:tplc="5EE8831C">
      <w:start w:val="1"/>
      <w:numFmt w:val="lowerRoman"/>
      <w:lvlText w:val="%9."/>
      <w:lvlJc w:val="right"/>
      <w:pPr>
        <w:ind w:left="6120" w:hanging="180"/>
      </w:pPr>
    </w:lvl>
  </w:abstractNum>
  <w:abstractNum w:abstractNumId="5" w15:restartNumberingAfterBreak="0">
    <w:nsid w:val="2C417AAE"/>
    <w:multiLevelType w:val="hybridMultilevel"/>
    <w:tmpl w:val="953A5EF4"/>
    <w:lvl w:ilvl="0" w:tplc="9CE0A740">
      <w:start w:val="1"/>
      <w:numFmt w:val="decimal"/>
      <w:lvlText w:val="%1."/>
      <w:lvlJc w:val="left"/>
      <w:pPr>
        <w:ind w:left="360" w:hanging="360"/>
      </w:pPr>
    </w:lvl>
    <w:lvl w:ilvl="1" w:tplc="C792E176">
      <w:start w:val="1"/>
      <w:numFmt w:val="lowerLetter"/>
      <w:lvlText w:val="%2."/>
      <w:lvlJc w:val="left"/>
      <w:pPr>
        <w:ind w:left="1080" w:hanging="360"/>
      </w:pPr>
    </w:lvl>
    <w:lvl w:ilvl="2" w:tplc="2A9C11CC">
      <w:start w:val="1"/>
      <w:numFmt w:val="lowerRoman"/>
      <w:lvlText w:val="%3."/>
      <w:lvlJc w:val="right"/>
      <w:pPr>
        <w:ind w:left="1800" w:hanging="180"/>
      </w:pPr>
    </w:lvl>
    <w:lvl w:ilvl="3" w:tplc="4586BCEC">
      <w:start w:val="1"/>
      <w:numFmt w:val="decimal"/>
      <w:lvlText w:val="%4."/>
      <w:lvlJc w:val="left"/>
      <w:pPr>
        <w:ind w:left="2520" w:hanging="360"/>
      </w:pPr>
    </w:lvl>
    <w:lvl w:ilvl="4" w:tplc="4528706C">
      <w:start w:val="1"/>
      <w:numFmt w:val="lowerLetter"/>
      <w:lvlText w:val="%5."/>
      <w:lvlJc w:val="left"/>
      <w:pPr>
        <w:ind w:left="3240" w:hanging="360"/>
      </w:pPr>
    </w:lvl>
    <w:lvl w:ilvl="5" w:tplc="691CAFF0">
      <w:start w:val="1"/>
      <w:numFmt w:val="lowerRoman"/>
      <w:lvlText w:val="%6."/>
      <w:lvlJc w:val="right"/>
      <w:pPr>
        <w:ind w:left="3960" w:hanging="180"/>
      </w:pPr>
    </w:lvl>
    <w:lvl w:ilvl="6" w:tplc="3BD237AE">
      <w:start w:val="1"/>
      <w:numFmt w:val="decimal"/>
      <w:lvlText w:val="%7."/>
      <w:lvlJc w:val="left"/>
      <w:pPr>
        <w:ind w:left="4680" w:hanging="360"/>
      </w:pPr>
    </w:lvl>
    <w:lvl w:ilvl="7" w:tplc="8DD6F2BA">
      <w:start w:val="1"/>
      <w:numFmt w:val="lowerLetter"/>
      <w:lvlText w:val="%8."/>
      <w:lvlJc w:val="left"/>
      <w:pPr>
        <w:ind w:left="5400" w:hanging="360"/>
      </w:pPr>
    </w:lvl>
    <w:lvl w:ilvl="8" w:tplc="8C5E6A8A">
      <w:start w:val="1"/>
      <w:numFmt w:val="lowerRoman"/>
      <w:lvlText w:val="%9."/>
      <w:lvlJc w:val="right"/>
      <w:pPr>
        <w:ind w:left="6120" w:hanging="180"/>
      </w:pPr>
    </w:lvl>
  </w:abstractNum>
  <w:abstractNum w:abstractNumId="6" w15:restartNumberingAfterBreak="0">
    <w:nsid w:val="320F324A"/>
    <w:multiLevelType w:val="hybridMultilevel"/>
    <w:tmpl w:val="0A1044DC"/>
    <w:lvl w:ilvl="0" w:tplc="D5583550">
      <w:start w:val="1"/>
      <w:numFmt w:val="decimal"/>
      <w:lvlText w:val="%1."/>
      <w:lvlJc w:val="left"/>
      <w:pPr>
        <w:ind w:left="360" w:hanging="360"/>
      </w:pPr>
    </w:lvl>
    <w:lvl w:ilvl="1" w:tplc="A1C48A84">
      <w:start w:val="1"/>
      <w:numFmt w:val="lowerLetter"/>
      <w:lvlText w:val="%2."/>
      <w:lvlJc w:val="left"/>
      <w:pPr>
        <w:ind w:left="1080" w:hanging="360"/>
      </w:pPr>
    </w:lvl>
    <w:lvl w:ilvl="2" w:tplc="8B6042D6">
      <w:start w:val="1"/>
      <w:numFmt w:val="lowerRoman"/>
      <w:lvlText w:val="%3."/>
      <w:lvlJc w:val="right"/>
      <w:pPr>
        <w:ind w:left="1800" w:hanging="180"/>
      </w:pPr>
    </w:lvl>
    <w:lvl w:ilvl="3" w:tplc="6A327AE8">
      <w:start w:val="1"/>
      <w:numFmt w:val="decimal"/>
      <w:lvlText w:val="%4."/>
      <w:lvlJc w:val="left"/>
      <w:pPr>
        <w:ind w:left="2520" w:hanging="360"/>
      </w:pPr>
    </w:lvl>
    <w:lvl w:ilvl="4" w:tplc="93908AEA">
      <w:start w:val="1"/>
      <w:numFmt w:val="lowerLetter"/>
      <w:lvlText w:val="%5."/>
      <w:lvlJc w:val="left"/>
      <w:pPr>
        <w:ind w:left="3240" w:hanging="360"/>
      </w:pPr>
    </w:lvl>
    <w:lvl w:ilvl="5" w:tplc="D6E49CCE">
      <w:start w:val="1"/>
      <w:numFmt w:val="lowerRoman"/>
      <w:lvlText w:val="%6."/>
      <w:lvlJc w:val="right"/>
      <w:pPr>
        <w:ind w:left="3960" w:hanging="180"/>
      </w:pPr>
    </w:lvl>
    <w:lvl w:ilvl="6" w:tplc="1E88A57C">
      <w:start w:val="1"/>
      <w:numFmt w:val="decimal"/>
      <w:lvlText w:val="%7."/>
      <w:lvlJc w:val="left"/>
      <w:pPr>
        <w:ind w:left="4680" w:hanging="360"/>
      </w:pPr>
    </w:lvl>
    <w:lvl w:ilvl="7" w:tplc="0BE80E86">
      <w:start w:val="1"/>
      <w:numFmt w:val="lowerLetter"/>
      <w:lvlText w:val="%8."/>
      <w:lvlJc w:val="left"/>
      <w:pPr>
        <w:ind w:left="5400" w:hanging="360"/>
      </w:pPr>
    </w:lvl>
    <w:lvl w:ilvl="8" w:tplc="A9BC3E90">
      <w:start w:val="1"/>
      <w:numFmt w:val="lowerRoman"/>
      <w:lvlText w:val="%9."/>
      <w:lvlJc w:val="right"/>
      <w:pPr>
        <w:ind w:left="6120" w:hanging="180"/>
      </w:pPr>
    </w:lvl>
  </w:abstractNum>
  <w:abstractNum w:abstractNumId="7" w15:restartNumberingAfterBreak="0">
    <w:nsid w:val="519B6451"/>
    <w:multiLevelType w:val="hybridMultilevel"/>
    <w:tmpl w:val="F20C6C24"/>
    <w:lvl w:ilvl="0" w:tplc="D52EFD94">
      <w:start w:val="1"/>
      <w:numFmt w:val="decimal"/>
      <w:lvlText w:val="%1."/>
      <w:lvlJc w:val="left"/>
      <w:pPr>
        <w:ind w:left="360" w:hanging="360"/>
      </w:pPr>
    </w:lvl>
    <w:lvl w:ilvl="1" w:tplc="CBF639C6">
      <w:start w:val="1"/>
      <w:numFmt w:val="lowerLetter"/>
      <w:lvlText w:val="%2."/>
      <w:lvlJc w:val="left"/>
      <w:pPr>
        <w:ind w:left="1080" w:hanging="360"/>
      </w:pPr>
    </w:lvl>
    <w:lvl w:ilvl="2" w:tplc="ADD8CE80">
      <w:start w:val="1"/>
      <w:numFmt w:val="lowerRoman"/>
      <w:lvlText w:val="%3."/>
      <w:lvlJc w:val="right"/>
      <w:pPr>
        <w:ind w:left="1800" w:hanging="180"/>
      </w:pPr>
    </w:lvl>
    <w:lvl w:ilvl="3" w:tplc="92E600BE">
      <w:start w:val="1"/>
      <w:numFmt w:val="decimal"/>
      <w:lvlText w:val="%4."/>
      <w:lvlJc w:val="left"/>
      <w:pPr>
        <w:ind w:left="2520" w:hanging="360"/>
      </w:pPr>
    </w:lvl>
    <w:lvl w:ilvl="4" w:tplc="BA3886BE">
      <w:start w:val="1"/>
      <w:numFmt w:val="lowerLetter"/>
      <w:lvlText w:val="%5."/>
      <w:lvlJc w:val="left"/>
      <w:pPr>
        <w:ind w:left="3240" w:hanging="360"/>
      </w:pPr>
    </w:lvl>
    <w:lvl w:ilvl="5" w:tplc="99F867FE">
      <w:start w:val="1"/>
      <w:numFmt w:val="lowerRoman"/>
      <w:lvlText w:val="%6."/>
      <w:lvlJc w:val="right"/>
      <w:pPr>
        <w:ind w:left="3960" w:hanging="180"/>
      </w:pPr>
    </w:lvl>
    <w:lvl w:ilvl="6" w:tplc="F2E01A22">
      <w:start w:val="1"/>
      <w:numFmt w:val="decimal"/>
      <w:lvlText w:val="%7."/>
      <w:lvlJc w:val="left"/>
      <w:pPr>
        <w:ind w:left="4680" w:hanging="360"/>
      </w:pPr>
    </w:lvl>
    <w:lvl w:ilvl="7" w:tplc="CB180F82">
      <w:start w:val="1"/>
      <w:numFmt w:val="lowerLetter"/>
      <w:lvlText w:val="%8."/>
      <w:lvlJc w:val="left"/>
      <w:pPr>
        <w:ind w:left="5400" w:hanging="360"/>
      </w:pPr>
    </w:lvl>
    <w:lvl w:ilvl="8" w:tplc="2F0E99BE">
      <w:start w:val="1"/>
      <w:numFmt w:val="lowerRoman"/>
      <w:lvlText w:val="%9."/>
      <w:lvlJc w:val="right"/>
      <w:pPr>
        <w:ind w:left="6120" w:hanging="180"/>
      </w:pPr>
    </w:lvl>
  </w:abstractNum>
  <w:abstractNum w:abstractNumId="8" w15:restartNumberingAfterBreak="0">
    <w:nsid w:val="71BC7C48"/>
    <w:multiLevelType w:val="hybridMultilevel"/>
    <w:tmpl w:val="74DC75FA"/>
    <w:lvl w:ilvl="0" w:tplc="A46072D0">
      <w:start w:val="1"/>
      <w:numFmt w:val="bullet"/>
      <w:lvlText w:val=""/>
      <w:lvlJc w:val="left"/>
      <w:pPr>
        <w:tabs>
          <w:tab w:val="num" w:pos="360"/>
        </w:tabs>
        <w:ind w:left="360" w:hanging="360"/>
      </w:pPr>
      <w:rPr>
        <w:rFonts w:ascii="Symbol" w:hAnsi="Symbol" w:hint="default"/>
      </w:rPr>
    </w:lvl>
    <w:lvl w:ilvl="1" w:tplc="F6DE2312">
      <w:start w:val="1"/>
      <w:numFmt w:val="bullet"/>
      <w:lvlText w:val="o"/>
      <w:lvlJc w:val="left"/>
      <w:pPr>
        <w:tabs>
          <w:tab w:val="num" w:pos="1080"/>
        </w:tabs>
        <w:ind w:left="1080" w:hanging="360"/>
      </w:pPr>
      <w:rPr>
        <w:rFonts w:ascii="Courier New" w:hAnsi="Courier New" w:cs="Times New Roman" w:hint="default"/>
      </w:rPr>
    </w:lvl>
    <w:lvl w:ilvl="2" w:tplc="DDEA0876">
      <w:start w:val="1"/>
      <w:numFmt w:val="bullet"/>
      <w:lvlText w:val=""/>
      <w:lvlJc w:val="left"/>
      <w:pPr>
        <w:tabs>
          <w:tab w:val="num" w:pos="1800"/>
        </w:tabs>
        <w:ind w:left="1800" w:hanging="360"/>
      </w:pPr>
      <w:rPr>
        <w:rFonts w:ascii="Wingdings" w:hAnsi="Wingdings" w:hint="default"/>
      </w:rPr>
    </w:lvl>
    <w:lvl w:ilvl="3" w:tplc="DFE6055C">
      <w:start w:val="1"/>
      <w:numFmt w:val="bullet"/>
      <w:lvlText w:val=""/>
      <w:lvlJc w:val="left"/>
      <w:pPr>
        <w:tabs>
          <w:tab w:val="num" w:pos="2520"/>
        </w:tabs>
        <w:ind w:left="2520" w:hanging="360"/>
      </w:pPr>
      <w:rPr>
        <w:rFonts w:ascii="Symbol" w:hAnsi="Symbol" w:hint="default"/>
      </w:rPr>
    </w:lvl>
    <w:lvl w:ilvl="4" w:tplc="0024E236">
      <w:start w:val="1"/>
      <w:numFmt w:val="bullet"/>
      <w:lvlText w:val="o"/>
      <w:lvlJc w:val="left"/>
      <w:pPr>
        <w:tabs>
          <w:tab w:val="num" w:pos="3240"/>
        </w:tabs>
        <w:ind w:left="3240" w:hanging="360"/>
      </w:pPr>
      <w:rPr>
        <w:rFonts w:ascii="Courier New" w:hAnsi="Courier New" w:cs="Times New Roman" w:hint="default"/>
      </w:rPr>
    </w:lvl>
    <w:lvl w:ilvl="5" w:tplc="E06C2DE6">
      <w:start w:val="1"/>
      <w:numFmt w:val="bullet"/>
      <w:lvlText w:val=""/>
      <w:lvlJc w:val="left"/>
      <w:pPr>
        <w:tabs>
          <w:tab w:val="num" w:pos="3960"/>
        </w:tabs>
        <w:ind w:left="3960" w:hanging="360"/>
      </w:pPr>
      <w:rPr>
        <w:rFonts w:ascii="Wingdings" w:hAnsi="Wingdings" w:hint="default"/>
      </w:rPr>
    </w:lvl>
    <w:lvl w:ilvl="6" w:tplc="1D0E0920">
      <w:start w:val="1"/>
      <w:numFmt w:val="bullet"/>
      <w:lvlText w:val=""/>
      <w:lvlJc w:val="left"/>
      <w:pPr>
        <w:tabs>
          <w:tab w:val="num" w:pos="4680"/>
        </w:tabs>
        <w:ind w:left="4680" w:hanging="360"/>
      </w:pPr>
      <w:rPr>
        <w:rFonts w:ascii="Symbol" w:hAnsi="Symbol" w:hint="default"/>
      </w:rPr>
    </w:lvl>
    <w:lvl w:ilvl="7" w:tplc="86A85754">
      <w:start w:val="1"/>
      <w:numFmt w:val="bullet"/>
      <w:lvlText w:val="o"/>
      <w:lvlJc w:val="left"/>
      <w:pPr>
        <w:tabs>
          <w:tab w:val="num" w:pos="5400"/>
        </w:tabs>
        <w:ind w:left="5400" w:hanging="360"/>
      </w:pPr>
      <w:rPr>
        <w:rFonts w:ascii="Courier New" w:hAnsi="Courier New" w:cs="Times New Roman" w:hint="default"/>
      </w:rPr>
    </w:lvl>
    <w:lvl w:ilvl="8" w:tplc="9E6406BA">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5016BD5"/>
    <w:multiLevelType w:val="hybridMultilevel"/>
    <w:tmpl w:val="E2D0CA1C"/>
    <w:lvl w:ilvl="0" w:tplc="20CA4AA8">
      <w:start w:val="1"/>
      <w:numFmt w:val="decimal"/>
      <w:lvlText w:val="%1."/>
      <w:lvlJc w:val="left"/>
      <w:pPr>
        <w:ind w:left="360" w:hanging="360"/>
      </w:pPr>
    </w:lvl>
    <w:lvl w:ilvl="1" w:tplc="7A466418">
      <w:start w:val="1"/>
      <w:numFmt w:val="lowerLetter"/>
      <w:lvlText w:val="%2."/>
      <w:lvlJc w:val="left"/>
      <w:pPr>
        <w:ind w:left="1080" w:hanging="360"/>
      </w:pPr>
    </w:lvl>
    <w:lvl w:ilvl="2" w:tplc="5D8AF79C">
      <w:start w:val="1"/>
      <w:numFmt w:val="lowerRoman"/>
      <w:lvlText w:val="%3."/>
      <w:lvlJc w:val="right"/>
      <w:pPr>
        <w:ind w:left="1800" w:hanging="180"/>
      </w:pPr>
    </w:lvl>
    <w:lvl w:ilvl="3" w:tplc="CD328C14">
      <w:start w:val="1"/>
      <w:numFmt w:val="decimal"/>
      <w:lvlText w:val="%4."/>
      <w:lvlJc w:val="left"/>
      <w:pPr>
        <w:ind w:left="2520" w:hanging="360"/>
      </w:pPr>
    </w:lvl>
    <w:lvl w:ilvl="4" w:tplc="6DE6AE62">
      <w:start w:val="1"/>
      <w:numFmt w:val="lowerLetter"/>
      <w:lvlText w:val="%5."/>
      <w:lvlJc w:val="left"/>
      <w:pPr>
        <w:ind w:left="3240" w:hanging="360"/>
      </w:pPr>
    </w:lvl>
    <w:lvl w:ilvl="5" w:tplc="52A0274C">
      <w:start w:val="1"/>
      <w:numFmt w:val="lowerRoman"/>
      <w:lvlText w:val="%6."/>
      <w:lvlJc w:val="right"/>
      <w:pPr>
        <w:ind w:left="3960" w:hanging="180"/>
      </w:pPr>
    </w:lvl>
    <w:lvl w:ilvl="6" w:tplc="FC78116E">
      <w:start w:val="1"/>
      <w:numFmt w:val="decimal"/>
      <w:lvlText w:val="%7."/>
      <w:lvlJc w:val="left"/>
      <w:pPr>
        <w:ind w:left="4680" w:hanging="360"/>
      </w:pPr>
    </w:lvl>
    <w:lvl w:ilvl="7" w:tplc="2612E0AC">
      <w:start w:val="1"/>
      <w:numFmt w:val="lowerLetter"/>
      <w:lvlText w:val="%8."/>
      <w:lvlJc w:val="left"/>
      <w:pPr>
        <w:ind w:left="5400" w:hanging="360"/>
      </w:pPr>
    </w:lvl>
    <w:lvl w:ilvl="8" w:tplc="C3D436A8">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C9"/>
    <w:rsid w:val="00006124"/>
    <w:rsid w:val="00074C6C"/>
    <w:rsid w:val="000756E8"/>
    <w:rsid w:val="0008691A"/>
    <w:rsid w:val="000A1C44"/>
    <w:rsid w:val="000B60E1"/>
    <w:rsid w:val="001440AB"/>
    <w:rsid w:val="00150919"/>
    <w:rsid w:val="00181D76"/>
    <w:rsid w:val="001B4BC6"/>
    <w:rsid w:val="001E5FA4"/>
    <w:rsid w:val="001F7A01"/>
    <w:rsid w:val="00201A27"/>
    <w:rsid w:val="00245AA4"/>
    <w:rsid w:val="00340C2E"/>
    <w:rsid w:val="00345881"/>
    <w:rsid w:val="003810A5"/>
    <w:rsid w:val="00397BA0"/>
    <w:rsid w:val="003A32E9"/>
    <w:rsid w:val="003C27D2"/>
    <w:rsid w:val="003E45C2"/>
    <w:rsid w:val="00423D91"/>
    <w:rsid w:val="0043735F"/>
    <w:rsid w:val="00442699"/>
    <w:rsid w:val="00442F87"/>
    <w:rsid w:val="00465355"/>
    <w:rsid w:val="00470BDF"/>
    <w:rsid w:val="00486F1B"/>
    <w:rsid w:val="004C4F20"/>
    <w:rsid w:val="004E3209"/>
    <w:rsid w:val="004F0D3F"/>
    <w:rsid w:val="00514E1D"/>
    <w:rsid w:val="005427BC"/>
    <w:rsid w:val="00555134"/>
    <w:rsid w:val="00572A14"/>
    <w:rsid w:val="005E7EA1"/>
    <w:rsid w:val="005F57E8"/>
    <w:rsid w:val="006119F4"/>
    <w:rsid w:val="00630907"/>
    <w:rsid w:val="00652748"/>
    <w:rsid w:val="006B5A0C"/>
    <w:rsid w:val="00710088"/>
    <w:rsid w:val="0071682A"/>
    <w:rsid w:val="00742876"/>
    <w:rsid w:val="007A662F"/>
    <w:rsid w:val="007B5E91"/>
    <w:rsid w:val="00805892"/>
    <w:rsid w:val="008214AA"/>
    <w:rsid w:val="00860F94"/>
    <w:rsid w:val="00861145"/>
    <w:rsid w:val="008706FC"/>
    <w:rsid w:val="0087674F"/>
    <w:rsid w:val="00885F6E"/>
    <w:rsid w:val="008B1374"/>
    <w:rsid w:val="008C06E2"/>
    <w:rsid w:val="008D63AD"/>
    <w:rsid w:val="008D750B"/>
    <w:rsid w:val="008E2E34"/>
    <w:rsid w:val="00935FFB"/>
    <w:rsid w:val="00960620"/>
    <w:rsid w:val="00975498"/>
    <w:rsid w:val="0098294A"/>
    <w:rsid w:val="009C0B16"/>
    <w:rsid w:val="00A12D16"/>
    <w:rsid w:val="00A34317"/>
    <w:rsid w:val="00A43C1C"/>
    <w:rsid w:val="00A464E3"/>
    <w:rsid w:val="00A57848"/>
    <w:rsid w:val="00A6667F"/>
    <w:rsid w:val="00B12B3B"/>
    <w:rsid w:val="00B15FE9"/>
    <w:rsid w:val="00B3019C"/>
    <w:rsid w:val="00B63C26"/>
    <w:rsid w:val="00BC2E73"/>
    <w:rsid w:val="00BD13C5"/>
    <w:rsid w:val="00BD7B45"/>
    <w:rsid w:val="00BE39EC"/>
    <w:rsid w:val="00BF6E12"/>
    <w:rsid w:val="00C11CA4"/>
    <w:rsid w:val="00C41738"/>
    <w:rsid w:val="00C93AF6"/>
    <w:rsid w:val="00CA3E79"/>
    <w:rsid w:val="00CA54D8"/>
    <w:rsid w:val="00CE765E"/>
    <w:rsid w:val="00D066F0"/>
    <w:rsid w:val="00D1179D"/>
    <w:rsid w:val="00D45009"/>
    <w:rsid w:val="00D45E56"/>
    <w:rsid w:val="00D71111"/>
    <w:rsid w:val="00D85CFD"/>
    <w:rsid w:val="00DD17A3"/>
    <w:rsid w:val="00DF12DF"/>
    <w:rsid w:val="00E07B64"/>
    <w:rsid w:val="00E1670F"/>
    <w:rsid w:val="00E22C86"/>
    <w:rsid w:val="00E23836"/>
    <w:rsid w:val="00E42E14"/>
    <w:rsid w:val="00E57DD7"/>
    <w:rsid w:val="00E834F4"/>
    <w:rsid w:val="00F04730"/>
    <w:rsid w:val="00F179C9"/>
    <w:rsid w:val="00F445EC"/>
    <w:rsid w:val="00F821FE"/>
    <w:rsid w:val="00F83CCD"/>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F67B"/>
  <w15:docId w15:val="{118C0211-F7B9-4F03-B9CB-5CE2E616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Odstavecseseznamem">
    <w:name w:val="List Paragraph"/>
    <w:basedOn w:val="Normln"/>
    <w:uiPriority w:val="34"/>
    <w:qFormat/>
    <w:rsid w:val="005F57E8"/>
    <w:pPr>
      <w:spacing w:after="200" w:line="276" w:lineRule="auto"/>
      <w:ind w:left="720"/>
      <w:contextualSpacing/>
    </w:pPr>
    <w:rPr>
      <w:rFonts w:asciiTheme="minorHAnsi" w:eastAsiaTheme="minorEastAsia" w:hAnsiTheme="minorHAnsi" w:cstheme="minorBidi"/>
      <w:sz w:val="22"/>
      <w:szCs w:val="22"/>
    </w:rPr>
  </w:style>
  <w:style w:type="paragraph" w:customStyle="1" w:styleId="vnintext">
    <w:name w:val="vniřnítext"/>
    <w:basedOn w:val="Normln"/>
    <w:rsid w:val="005F57E8"/>
    <w:pPr>
      <w:tabs>
        <w:tab w:val="left" w:pos="709"/>
      </w:tabs>
      <w:ind w:firstLine="426"/>
      <w:jc w:val="both"/>
    </w:pPr>
    <w:rPr>
      <w:szCs w:val="20"/>
    </w:rPr>
  </w:style>
  <w:style w:type="paragraph" w:styleId="Zhlav">
    <w:name w:val="header"/>
    <w:basedOn w:val="Normln"/>
    <w:link w:val="ZhlavChar"/>
    <w:uiPriority w:val="99"/>
    <w:unhideWhenUsed/>
    <w:rsid w:val="005F57E8"/>
    <w:pPr>
      <w:tabs>
        <w:tab w:val="center" w:pos="4536"/>
        <w:tab w:val="right" w:pos="9072"/>
      </w:tabs>
    </w:pPr>
  </w:style>
  <w:style w:type="character" w:customStyle="1" w:styleId="ZhlavChar">
    <w:name w:val="Záhlaví Char"/>
    <w:basedOn w:val="Standardnpsmoodstavce"/>
    <w:link w:val="Zhlav"/>
    <w:uiPriority w:val="99"/>
    <w:rsid w:val="005F57E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F57E8"/>
    <w:pPr>
      <w:tabs>
        <w:tab w:val="center" w:pos="4536"/>
        <w:tab w:val="right" w:pos="9072"/>
      </w:tabs>
    </w:pPr>
  </w:style>
  <w:style w:type="character" w:customStyle="1" w:styleId="ZpatChar">
    <w:name w:val="Zápatí Char"/>
    <w:basedOn w:val="Standardnpsmoodstavce"/>
    <w:link w:val="Zpat"/>
    <w:uiPriority w:val="99"/>
    <w:rsid w:val="005F57E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1863</Words>
  <Characters>10997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Koucká Stanislava</cp:lastModifiedBy>
  <cp:revision>5</cp:revision>
  <dcterms:created xsi:type="dcterms:W3CDTF">2018-10-02T11:29:00Z</dcterms:created>
  <dcterms:modified xsi:type="dcterms:W3CDTF">2024-04-29T10:32:00Z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SKUP/LN/2013/0247</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UZSVM/ULN/3137/2021-ULNM</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EA 1. kolo - p.p.č. 158/7, 731/1, 731/6</vt:lpwstr>
  </property>
  <property fmtid="{D5CDD505-2E9C-101B-9397-08002B2CF9AE}" pid="37" name="CUSTOM.VLASTNIK_CISLO_DS">
    <vt:lpwstr>va2fsxs</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Helšusová Renata</vt:lpwstr>
  </property>
  <property fmtid="{D5CDD505-2E9C-101B-9397-08002B2CF9AE}" pid="41" name="CUSTOM.VLASTNIK_JMENO_TISK">
    <vt:lpwstr/>
  </property>
  <property fmtid="{D5CDD505-2E9C-101B-9397-08002B2CF9AE}" pid="42" name="CUSTOM.VLASTNIK_MAIL">
    <vt:lpwstr>Renata.Helsusova@uzsvm.cz</vt:lpwstr>
  </property>
  <property fmtid="{D5CDD505-2E9C-101B-9397-08002B2CF9AE}" pid="43" name="CUSTOM.VLASTNIK_TELEFON">
    <vt:lpwstr>+420 415 623 223</vt:lpwstr>
  </property>
  <property fmtid="{D5CDD505-2E9C-101B-9397-08002B2CF9AE}" pid="44" name="CUSTOM.VYTVOREN_DNE">
    <vt:lpwstr>22.04.2024</vt:lpwstr>
  </property>
  <property fmtid="{D5CDD505-2E9C-101B-9397-08002B2CF9AE}" pid="45" name="KOD.KOD_CJ">
    <vt:lpwstr>UZSVM/USL/2014/2024-USL</vt:lpwstr>
  </property>
  <property fmtid="{D5CDD505-2E9C-101B-9397-08002B2CF9AE}" pid="46" name="KOD.KOD_EVC">
    <vt:lpwstr>2707/USL/2024-USL</vt:lpwstr>
  </property>
  <property fmtid="{D5CDD505-2E9C-101B-9397-08002B2CF9AE}" pid="47" name="KOD.KOD_EVC_BARCODE">
    <vt:lpwstr>µ#2707/USL/2024-USL@N¸</vt:lpwstr>
  </property>
  <property fmtid="{D5CDD505-2E9C-101B-9397-08002B2CF9AE}" pid="48" name="KOD.KOD_IU_CODE">
    <vt:lpwstr>4140</vt:lpwstr>
  </property>
  <property fmtid="{D5CDD505-2E9C-101B-9397-08002B2CF9AE}" pid="49" name="KOD.KOD_IU_SHORT">
    <vt:lpwstr>USL</vt:lpwstr>
  </property>
  <property fmtid="{D5CDD505-2E9C-101B-9397-08002B2CF9AE}" pid="50" name="KOD.KOD_IU_TXT">
    <vt:lpwstr>samostatné oddělení Louny</vt:lpwstr>
  </property>
  <property fmtid="{D5CDD505-2E9C-101B-9397-08002B2CF9AE}" pid="51" name="KOD.OBJECT_GUID">
    <vt:lpwstr>7c416df6-bbf8-421e-9aa1-6793910e504b</vt:lpwstr>
  </property>
  <property fmtid="{D5CDD505-2E9C-101B-9397-08002B2CF9AE}" pid="52" name="KrbDmsIdForm">
    <vt:lpwstr>7c416df6-bbf8-421e-9aa1-6793910e504b</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