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2830BB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8402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2830BB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38477/O/2020-HMSO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2830BB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UZSVM/O/21564/2020-HMSO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4B2BF5" w:rsidRDefault="004B2BF5" w:rsidP="00F30D58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2"/>
          <w:szCs w:val="22"/>
        </w:rPr>
      </w:pPr>
    </w:p>
    <w:p w:rsidR="00F30D58" w:rsidRDefault="002830BB" w:rsidP="00F30D58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 ve věcech majetkových</w:t>
      </w: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Rašínovo nábřeží 390/42, 128 00 Praha </w:t>
      </w:r>
      <w:r>
        <w:rPr>
          <w:rFonts w:ascii="Arial" w:hAnsi="Arial" w:cs="Arial"/>
          <w:sz w:val="22"/>
          <w:szCs w:val="22"/>
        </w:rPr>
        <w:t>2,</w:t>
      </w:r>
    </w:p>
    <w:p w:rsidR="00F30D58" w:rsidRDefault="002830BB" w:rsidP="00F30D5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Karel Tošenovský, ředitel Územního pracoviště Ostrava,</w:t>
      </w:r>
    </w:p>
    <w:p w:rsidR="00F30D58" w:rsidRDefault="002830BB" w:rsidP="00F30D5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Příkazu generálního ředitele č. 6/2014, v platném znění </w:t>
      </w: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F30D58" w:rsidRDefault="002830BB" w:rsidP="00F30D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F30D58" w:rsidRDefault="002830BB" w:rsidP="00F30D58">
      <w:pPr>
        <w:tabs>
          <w:tab w:val="left" w:pos="237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30D58" w:rsidRDefault="002830BB" w:rsidP="00F30D58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Varianta</w:t>
      </w:r>
      <w:r>
        <w:rPr>
          <w:rFonts w:ascii="Arial" w:hAnsi="Arial" w:cs="Arial"/>
          <w:i/>
          <w:sz w:val="22"/>
          <w:szCs w:val="22"/>
        </w:rPr>
        <w:t xml:space="preserve"> - fyzická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osoba</w:t>
      </w:r>
    </w:p>
    <w:p w:rsidR="00F30D58" w:rsidRDefault="002830BB" w:rsidP="00F30D58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trvalý pobyt: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F30D58" w:rsidRDefault="002830BB" w:rsidP="00F30D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F30D58" w:rsidRDefault="00F30D58" w:rsidP="00F30D58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F30D58" w:rsidRDefault="002830BB" w:rsidP="00F30D58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 fyzická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osoba - podnikatel</w:t>
      </w:r>
    </w:p>
    <w:p w:rsidR="00F30D58" w:rsidRDefault="002830BB" w:rsidP="00F30D58">
      <w:pPr>
        <w:tabs>
          <w:tab w:val="left" w:pos="0"/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</w:t>
      </w:r>
      <w:proofErr w:type="gramStart"/>
      <w:r>
        <w:rPr>
          <w:rFonts w:ascii="Arial" w:hAnsi="Arial" w:cs="Arial"/>
          <w:i/>
          <w:sz w:val="22"/>
          <w:szCs w:val="22"/>
          <w:highlight w:val="lightGray"/>
        </w:rPr>
        <w:t>…...</w:t>
      </w:r>
      <w:r>
        <w:rPr>
          <w:rFonts w:ascii="Arial" w:hAnsi="Arial" w:cs="Arial"/>
          <w:i/>
          <w:sz w:val="22"/>
          <w:szCs w:val="22"/>
        </w:rPr>
        <w:t>.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(akademický titul,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trvalý pobyt: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</w:t>
      </w:r>
      <w:proofErr w:type="gramStart"/>
      <w:r>
        <w:rPr>
          <w:rFonts w:ascii="Arial" w:hAnsi="Arial" w:cs="Arial"/>
          <w:sz w:val="22"/>
          <w:szCs w:val="22"/>
        </w:rPr>
        <w:t>podnikání: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….....</w:t>
      </w:r>
      <w:r>
        <w:rPr>
          <w:rFonts w:ascii="Arial" w:hAnsi="Arial" w:cs="Arial"/>
          <w:sz w:val="22"/>
          <w:szCs w:val="22"/>
        </w:rPr>
        <w:t>,</w:t>
      </w: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>, DIČ: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F30D58" w:rsidRDefault="002830BB" w:rsidP="00F30D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F30D58" w:rsidRDefault="00F30D58" w:rsidP="00F30D58">
      <w:pPr>
        <w:jc w:val="both"/>
        <w:rPr>
          <w:rFonts w:ascii="Arial" w:hAnsi="Arial" w:cs="Arial"/>
          <w:b/>
          <w:sz w:val="22"/>
          <w:szCs w:val="22"/>
        </w:rPr>
      </w:pPr>
    </w:p>
    <w:p w:rsidR="00F30D58" w:rsidRDefault="002830BB" w:rsidP="00F30D58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-právnická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osoba</w:t>
      </w:r>
    </w:p>
    <w:p w:rsidR="00F30D58" w:rsidRDefault="002830BB" w:rsidP="00F30D5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  <w:szCs w:val="22"/>
        </w:rPr>
        <w:t>s  veřejným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rejstříkem právnických osob),</w:t>
      </w:r>
    </w:p>
    <w:p w:rsidR="00F30D58" w:rsidRDefault="002830BB" w:rsidP="00F30D58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F30D58" w:rsidRDefault="002830BB" w:rsidP="00F30D58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</w:t>
      </w:r>
      <w:r>
        <w:rPr>
          <w:rFonts w:ascii="Arial" w:hAnsi="Arial" w:cs="Arial"/>
          <w:i/>
          <w:sz w:val="22"/>
          <w:szCs w:val="22"/>
        </w:rPr>
        <w:t xml:space="preserve">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>, DIČ: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F30D58" w:rsidRDefault="002830BB" w:rsidP="00F30D5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….................…</w:t>
      </w:r>
    </w:p>
    <w:p w:rsidR="00F30D58" w:rsidRDefault="002830BB" w:rsidP="00F30D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F30D58" w:rsidRDefault="00F30D58" w:rsidP="00F30D58">
      <w:pPr>
        <w:jc w:val="both"/>
        <w:rPr>
          <w:rFonts w:ascii="Arial" w:hAnsi="Arial" w:cs="Arial"/>
          <w:b/>
          <w:sz w:val="22"/>
          <w:szCs w:val="22"/>
        </w:rPr>
      </w:pPr>
    </w:p>
    <w:p w:rsidR="00F30D58" w:rsidRDefault="002830BB" w:rsidP="00F30D58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-územní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samosprávný celek</w:t>
      </w:r>
    </w:p>
    <w:p w:rsidR="00F30D58" w:rsidRDefault="002830BB" w:rsidP="00F30D5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i/>
          <w:sz w:val="22"/>
          <w:szCs w:val="22"/>
        </w:rPr>
        <w:t>(</w:t>
      </w:r>
      <w:proofErr w:type="gramEnd"/>
      <w:r>
        <w:rPr>
          <w:rFonts w:ascii="Arial" w:hAnsi="Arial" w:cs="Arial"/>
          <w:i/>
          <w:sz w:val="22"/>
          <w:szCs w:val="22"/>
        </w:rPr>
        <w:t>přesné znění názvu územně samosprávného celku),</w:t>
      </w: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F30D58" w:rsidRDefault="002830BB" w:rsidP="00F30D58">
      <w:pPr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</w:t>
      </w:r>
      <w:r>
        <w:rPr>
          <w:rFonts w:ascii="Arial" w:hAnsi="Arial" w:cs="Arial"/>
          <w:sz w:val="22"/>
          <w:szCs w:val="22"/>
        </w:rPr>
        <w:t>lné moci,</w:t>
      </w: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</w:rPr>
        <w:t>, DIČ: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spojení: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proofErr w:type="gramEnd"/>
      <w:r>
        <w:rPr>
          <w:rFonts w:ascii="Arial" w:hAnsi="Arial" w:cs="Arial"/>
          <w:sz w:val="22"/>
          <w:szCs w:val="22"/>
          <w:highlight w:val="lightGray"/>
        </w:rPr>
        <w:t>..............…...…</w:t>
      </w:r>
    </w:p>
    <w:p w:rsidR="00F30D58" w:rsidRDefault="002830BB" w:rsidP="00F30D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F30D58" w:rsidRDefault="00F30D58" w:rsidP="00F30D58">
      <w:pPr>
        <w:jc w:val="both"/>
        <w:rPr>
          <w:rFonts w:ascii="Arial" w:hAnsi="Arial" w:cs="Arial"/>
          <w:b/>
          <w:sz w:val="22"/>
          <w:szCs w:val="22"/>
        </w:rPr>
      </w:pPr>
    </w:p>
    <w:p w:rsidR="00F30D58" w:rsidRDefault="00F30D58" w:rsidP="00F30D58">
      <w:pPr>
        <w:jc w:val="both"/>
        <w:rPr>
          <w:rFonts w:ascii="Arial" w:hAnsi="Arial" w:cs="Arial"/>
          <w:b/>
          <w:sz w:val="22"/>
          <w:szCs w:val="22"/>
        </w:rPr>
      </w:pPr>
    </w:p>
    <w:p w:rsidR="00F30D58" w:rsidRDefault="002830BB" w:rsidP="00F30D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2079 a násl. zákona č. 89/2012 Sb., občanský zákoník, ve znění pozdějších předpisů (dále jen „zákon č. 89/2012 Sb.“), a podle zákona č. 219/2000 </w:t>
      </w:r>
      <w:r>
        <w:rPr>
          <w:rFonts w:ascii="Arial" w:hAnsi="Arial" w:cs="Arial"/>
          <w:sz w:val="22"/>
          <w:szCs w:val="22"/>
        </w:rPr>
        <w:t>Sb., o majetku České republiky a jejím vystupování v právních vztazích, ve znění pozdějších předpisů (dále jen „zákon č. 219/2000 Sb.“), tuto</w:t>
      </w:r>
    </w:p>
    <w:p w:rsidR="00F30D58" w:rsidRDefault="00F30D58" w:rsidP="00F30D58">
      <w:pPr>
        <w:tabs>
          <w:tab w:val="left" w:pos="1635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</w:p>
    <w:p w:rsidR="00F30D58" w:rsidRDefault="00F30D58" w:rsidP="00F30D58">
      <w:pPr>
        <w:tabs>
          <w:tab w:val="left" w:pos="1635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</w:p>
    <w:p w:rsidR="00F30D58" w:rsidRDefault="002830BB" w:rsidP="00F30D58">
      <w:pPr>
        <w:tabs>
          <w:tab w:val="left" w:pos="1635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KUPNÍ SMLOUVU</w:t>
      </w:r>
    </w:p>
    <w:p w:rsidR="00F30D58" w:rsidRDefault="002830BB" w:rsidP="00F30D58">
      <w:pPr>
        <w:tabs>
          <w:tab w:val="left" w:pos="709"/>
          <w:tab w:val="left" w:pos="3544"/>
          <w:tab w:val="left" w:pos="3969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č. UZSVM/O/</w:t>
      </w:r>
      <w:r w:rsidR="004B2BF5">
        <w:rPr>
          <w:rFonts w:ascii="Arial" w:hAnsi="Arial" w:cs="Arial"/>
          <w:b/>
          <w:bCs/>
          <w:spacing w:val="60"/>
          <w:sz w:val="28"/>
          <w:szCs w:val="28"/>
        </w:rPr>
        <w:t>21564/2020</w:t>
      </w:r>
      <w:r>
        <w:rPr>
          <w:rFonts w:ascii="Arial" w:hAnsi="Arial" w:cs="Arial"/>
          <w:b/>
          <w:bCs/>
          <w:spacing w:val="60"/>
          <w:sz w:val="28"/>
          <w:szCs w:val="28"/>
        </w:rPr>
        <w:t>-HMSO</w:t>
      </w:r>
    </w:p>
    <w:p w:rsidR="00F30D58" w:rsidRDefault="002830BB" w:rsidP="00F30D58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I.</w:t>
      </w:r>
    </w:p>
    <w:p w:rsidR="00F30D58" w:rsidRDefault="002830BB" w:rsidP="00F30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contextualSpacing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Česká republika je vlastníkem níže uvedené movité věci:</w:t>
      </w:r>
    </w:p>
    <w:p w:rsidR="00F30D58" w:rsidRDefault="00F30D58" w:rsidP="00F30D58">
      <w:pPr>
        <w:widowControl w:val="0"/>
        <w:tabs>
          <w:tab w:val="num" w:pos="360"/>
        </w:tabs>
        <w:autoSpaceDE w:val="0"/>
        <w:autoSpaceDN w:val="0"/>
        <w:adjustRightInd w:val="0"/>
        <w:spacing w:before="120"/>
        <w:ind w:left="284"/>
        <w:contextualSpacing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F30D58" w:rsidRDefault="002830BB" w:rsidP="00F30D58">
      <w:pPr>
        <w:widowControl w:val="0"/>
        <w:numPr>
          <w:ilvl w:val="0"/>
          <w:numId w:val="2"/>
        </w:numPr>
        <w:spacing w:before="60" w:after="200" w:line="276" w:lineRule="auto"/>
        <w:contextualSpacing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Pánské 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hodinky s páskem hnědé barvy značky NEW YORKER</w:t>
      </w:r>
    </w:p>
    <w:p w:rsidR="00F30D58" w:rsidRDefault="002830BB" w:rsidP="00F30D58">
      <w:pPr>
        <w:spacing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”převáděný majetek”).</w:t>
      </w:r>
    </w:p>
    <w:p w:rsidR="00F30D58" w:rsidRDefault="002830BB" w:rsidP="00F30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převáděného majetku na základě § 70 odst. 2 písm. b) trestního </w:t>
      </w:r>
      <w:proofErr w:type="spellStart"/>
      <w:r>
        <w:rPr>
          <w:rFonts w:ascii="Arial" w:hAnsi="Arial" w:cs="Arial"/>
          <w:sz w:val="22"/>
          <w:szCs w:val="22"/>
        </w:rPr>
        <w:t>zákoniku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30D58" w:rsidRDefault="002830BB" w:rsidP="00F30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Úřad pro zastupování státu ve věcech majetkových je příslušný hospodařit </w:t>
      </w:r>
      <w:r>
        <w:rPr>
          <w:rFonts w:ascii="Arial" w:hAnsi="Arial" w:cs="Arial"/>
          <w:sz w:val="22"/>
          <w:szCs w:val="22"/>
        </w:rPr>
        <w:t>s převáděným majetkem na základě § 10 zákona č. 219/2000 Sb., ve smyslu § 11 odst. 2 zákona č. 219/2000 Sb.</w:t>
      </w:r>
    </w:p>
    <w:p w:rsidR="00F30D58" w:rsidRDefault="002830BB" w:rsidP="00F30D58">
      <w:pPr>
        <w:pStyle w:val="Odstavecseseznamem"/>
        <w:numPr>
          <w:ilvl w:val="0"/>
          <w:numId w:val="1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Majetek je realizován v režimu zákona č. 59/2017 Sb., o použití peněžních prostředků z majetkových trestních sankcí uložených v trestním řízení a o </w:t>
      </w:r>
      <w:r>
        <w:rPr>
          <w:rFonts w:ascii="Arial" w:eastAsia="Calibri" w:hAnsi="Arial" w:cs="Arial"/>
          <w:sz w:val="22"/>
          <w:szCs w:val="22"/>
          <w:lang w:eastAsia="en-US"/>
        </w:rPr>
        <w:t>změně některých zákonů.</w:t>
      </w:r>
    </w:p>
    <w:p w:rsidR="00F30D58" w:rsidRDefault="002830BB" w:rsidP="00F30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kupní smlouva je uzavírána na základě výsledku aukce uskutečněné prostřednictvím Elektronického aukčního systému prodávajícího.</w:t>
      </w:r>
    </w:p>
    <w:p w:rsidR="00F30D58" w:rsidRDefault="00F30D58" w:rsidP="00F30D58">
      <w:pPr>
        <w:widowControl w:val="0"/>
        <w:autoSpaceDE w:val="0"/>
        <w:autoSpaceDN w:val="0"/>
        <w:adjustRightInd w:val="0"/>
        <w:spacing w:after="120"/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F30D58" w:rsidRDefault="002830BB" w:rsidP="00F30D5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II.</w:t>
      </w:r>
    </w:p>
    <w:p w:rsidR="00F30D58" w:rsidRDefault="002830BB" w:rsidP="00F30D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touto smlouvou úplatně převádí kupujícímu vlastnické právo k převáděnému majet</w:t>
      </w:r>
      <w:r>
        <w:rPr>
          <w:rFonts w:ascii="Arial" w:hAnsi="Arial" w:cs="Arial"/>
          <w:sz w:val="22"/>
          <w:szCs w:val="22"/>
        </w:rPr>
        <w:t>ku a kupující toto právo za cenu uvedenou v Čl. II. odst. 2. této smlouvy přijímá.</w:t>
      </w:r>
    </w:p>
    <w:p w:rsidR="00F30D58" w:rsidRDefault="002830BB" w:rsidP="00F30D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stanovena na základě uskutečněné aukce ve výši </w:t>
      </w:r>
      <w:r>
        <w:rPr>
          <w:rFonts w:ascii="Arial" w:hAnsi="Arial" w:cs="Arial"/>
          <w:sz w:val="22"/>
          <w:szCs w:val="22"/>
          <w:highlight w:val="lightGray"/>
        </w:rPr>
        <w:t>…...…</w:t>
      </w:r>
      <w:r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  <w:highlight w:val="lightGray"/>
        </w:rPr>
        <w:t>................……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:rsidR="00F30D58" w:rsidRDefault="002830BB" w:rsidP="00F30D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se zavazuje převáděný majetek převzít do 14 praco</w:t>
      </w:r>
      <w:r>
        <w:rPr>
          <w:rFonts w:ascii="Arial" w:hAnsi="Arial" w:cs="Arial"/>
          <w:sz w:val="22"/>
          <w:szCs w:val="22"/>
        </w:rPr>
        <w:t>vních dnů po podpisu této kupní smlouvy na adrese Územní pracoviště Ostrava, ul. Lihovarská 1335/9, 716 10 Ostrava-Radvanice.</w:t>
      </w:r>
    </w:p>
    <w:p w:rsidR="00F30D58" w:rsidRDefault="002830BB" w:rsidP="00F30D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Nepřevezme-li si kupující převáděný majetek v době uvedené v odstavci 3, náleží prodávajícímu úplata za uskladnění převáděného maj</w:t>
      </w:r>
      <w:r>
        <w:rPr>
          <w:rFonts w:ascii="Arial" w:hAnsi="Arial" w:cs="Arial"/>
          <w:sz w:val="22"/>
          <w:szCs w:val="22"/>
        </w:rPr>
        <w:t>etku ve výši 10</w:t>
      </w:r>
      <w:r w:rsidR="004B2B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z kupní ceny převáděného majetku.</w:t>
      </w:r>
    </w:p>
    <w:p w:rsidR="00F30D58" w:rsidRDefault="002830BB" w:rsidP="00F30D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každý, byť i započatý měsíc skladování převáděného majetku se kupující zavazuje zaplatit prodávajícímu smluvní pokutu ve výši 5</w:t>
      </w:r>
      <w:r w:rsidR="004B2B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z kupní ceny převáděného majetku, nejméně však ve výši 50,-- Kč. Tím není</w:t>
      </w:r>
      <w:r>
        <w:rPr>
          <w:rFonts w:ascii="Arial" w:hAnsi="Arial" w:cs="Arial"/>
          <w:sz w:val="22"/>
          <w:szCs w:val="22"/>
        </w:rPr>
        <w:t xml:space="preserve"> dotčeno ustanovení odstavce 5.</w:t>
      </w:r>
    </w:p>
    <w:p w:rsidR="00F30D58" w:rsidRDefault="002830BB" w:rsidP="00F30D58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F30D58" w:rsidRDefault="002830BB" w:rsidP="00F30D58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byla uhrazena na bankovní účet prodávajícího vedený u České národní banky se sídlem v Praze, číslo. 6015-9127761/0710, variabilní symbol…………………… dne……………….</w:t>
      </w:r>
    </w:p>
    <w:p w:rsidR="00F30D58" w:rsidRDefault="002830BB" w:rsidP="00F30D58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:rsidR="00F30D58" w:rsidRDefault="002830BB" w:rsidP="00F30D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nemá vůči prodávajícímu dluh, jehož plnění je vynutitelné na základě vykonatelného exekučního titulu podle § 40 zákona č. 120/2001 Sb., o soudních exekutorech a exekuční činnosti (exekuční řád) ve znění pozdějších předpisů. </w:t>
      </w:r>
    </w:p>
    <w:p w:rsidR="00F30D58" w:rsidRDefault="002830BB" w:rsidP="00F30D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</w:t>
      </w:r>
      <w:r>
        <w:rPr>
          <w:rFonts w:ascii="Arial" w:hAnsi="Arial" w:cs="Arial"/>
          <w:sz w:val="22"/>
          <w:szCs w:val="22"/>
        </w:rPr>
        <w:t xml:space="preserve">í prohlašuje, že není osobou, na niž se vztahuje § 18 zákona č. 219/2000 Sb. </w:t>
      </w:r>
    </w:p>
    <w:p w:rsidR="00F30D58" w:rsidRDefault="002830BB" w:rsidP="00F30D58">
      <w:pPr>
        <w:tabs>
          <w:tab w:val="left" w:pos="709"/>
        </w:tabs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:rsidR="00F30D58" w:rsidRDefault="002830BB" w:rsidP="00F30D5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kupujícího, že není osobou, na níž se vztahuje § 18 zákona č. 219/2000 Sb., jako n</w:t>
      </w:r>
      <w:r>
        <w:rPr>
          <w:rFonts w:ascii="Arial" w:hAnsi="Arial" w:cs="Arial"/>
          <w:sz w:val="22"/>
          <w:szCs w:val="22"/>
        </w:rPr>
        <w:t xml:space="preserve">epravdivé.  </w:t>
      </w:r>
    </w:p>
    <w:p w:rsidR="00F30D58" w:rsidRDefault="002830BB" w:rsidP="00F30D5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nastanou-li takové skutečnosti.</w:t>
      </w:r>
    </w:p>
    <w:p w:rsidR="00F30D58" w:rsidRDefault="002830BB" w:rsidP="00F30D5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se závazky z této smlouvy od počátku ruší. Smluvní strany jso</w:t>
      </w:r>
      <w:r>
        <w:rPr>
          <w:rFonts w:ascii="Arial" w:hAnsi="Arial" w:cs="Arial"/>
          <w:sz w:val="22"/>
          <w:szCs w:val="22"/>
        </w:rPr>
        <w:t>u povinny si vrátit vzájemná plnění poskytnutá dle této smlouvy.</w:t>
      </w:r>
    </w:p>
    <w:p w:rsidR="00F30D58" w:rsidRDefault="002830BB" w:rsidP="00F30D5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se dohodly, že v případě, že dojde k porušení závazků ze strany kupujícího, ve smyslu Čl. V. nebo kupující převáděný majetek nepřevezme ve lhůtě do 14 pracovní</w:t>
      </w:r>
      <w:r w:rsidR="004B2BF5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dnů po podpisu </w:t>
      </w:r>
      <w:r>
        <w:rPr>
          <w:rFonts w:ascii="Arial" w:hAnsi="Arial" w:cs="Arial"/>
          <w:sz w:val="22"/>
          <w:szCs w:val="22"/>
        </w:rPr>
        <w:t>této kupní smlouvy, má prodávající právo od této kupní smlouvy odstoupit.</w:t>
      </w:r>
    </w:p>
    <w:p w:rsidR="00F30D58" w:rsidRDefault="002830BB" w:rsidP="00F30D5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kupující v prohlášeních podle Čl. IV. uvede nepravdivé skutečnosti o svých dluzích vůči státu a své způsobilosti nabýt převáděný majetek, nebo pokud kupující převáděný majetek </w:t>
      </w:r>
      <w:r>
        <w:rPr>
          <w:rFonts w:ascii="Arial" w:hAnsi="Arial" w:cs="Arial"/>
          <w:sz w:val="22"/>
          <w:szCs w:val="22"/>
        </w:rPr>
        <w:t>nepřevezme ve lhůtě do 14 pracovní</w:t>
      </w:r>
      <w:r w:rsidR="004B2BF5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dnů po podpisu této kupní smlouvy, má prodávající právo požadovat na kupujícím úhradu smluvní pokuty ve výši 10</w:t>
      </w:r>
      <w:r w:rsidR="004B2BF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% z kupní ceny.</w:t>
      </w:r>
    </w:p>
    <w:p w:rsidR="00F30D58" w:rsidRDefault="002830BB" w:rsidP="00F30D5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kteroukoliv ze smluvních stran se nedotýká povinnosti kupujícího </w:t>
      </w:r>
      <w:r>
        <w:rPr>
          <w:rFonts w:ascii="Arial" w:hAnsi="Arial" w:cs="Arial"/>
          <w:sz w:val="22"/>
          <w:szCs w:val="22"/>
        </w:rPr>
        <w:t>zaplatit peněžitá plnění (zejm. úroky z prodlení, smluvní pokuty), na jejichž úhradu dle této smlouvy vznikl prodávajícímu nárok do data účinnosti odstoupení.</w:t>
      </w:r>
    </w:p>
    <w:p w:rsidR="00F30D58" w:rsidRDefault="002830BB" w:rsidP="00F30D5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smlouvy musí být v písemné formě a nabývá účinnosti dnem doručení druhé straně. Ods</w:t>
      </w:r>
      <w:r>
        <w:rPr>
          <w:rFonts w:ascii="Arial" w:hAnsi="Arial" w:cs="Arial"/>
          <w:sz w:val="22"/>
          <w:szCs w:val="22"/>
        </w:rPr>
        <w:t>toupením se závazky z 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:rsidR="00F30D58" w:rsidRDefault="002830BB" w:rsidP="00F30D58">
      <w:pPr>
        <w:numPr>
          <w:ilvl w:val="0"/>
          <w:numId w:val="5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dojde k ods</w:t>
      </w:r>
      <w:r>
        <w:rPr>
          <w:rFonts w:ascii="Arial" w:hAnsi="Arial" w:cs="Arial"/>
          <w:sz w:val="22"/>
          <w:szCs w:val="22"/>
        </w:rPr>
        <w:t>toupení od smlouvy a kupní cena již byla zaplacena, má prodávající do 14 pracovních dnů od účinků odstoupení vrátit kupní cenu sníženou o:</w:t>
      </w:r>
    </w:p>
    <w:p w:rsidR="00F30D58" w:rsidRDefault="002830BB" w:rsidP="00F30D58">
      <w:pPr>
        <w:numPr>
          <w:ilvl w:val="0"/>
          <w:numId w:val="6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vyúčtování smluvní pokuty a úroky z prodlení, </w:t>
      </w:r>
    </w:p>
    <w:p w:rsidR="00F30D58" w:rsidRDefault="002830BB" w:rsidP="00F30D58">
      <w:p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:rsidR="00F30D58" w:rsidRDefault="002830BB" w:rsidP="00F30D58">
      <w:pPr>
        <w:tabs>
          <w:tab w:val="left" w:pos="360"/>
          <w:tab w:val="left" w:pos="426"/>
        </w:tabs>
        <w:autoSpaceDE w:val="0"/>
        <w:autoSpaceDN w:val="0"/>
        <w:adjustRightInd w:val="0"/>
        <w:spacing w:before="120" w:after="160"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Nebyla-li kupní cena dosud uhrazena a od kupní smlouvy odstoupil prodávající, má kupující povinnost vyúčtované smluvní pokuty a úroky z prodlení, pokud vznikly podle této smlouvy, uhradit prodávajícímu ve lhůtě, která bude kupujícímu oznámená ve výzvě prod</w:t>
      </w:r>
      <w:r>
        <w:rPr>
          <w:rFonts w:ascii="Arial" w:hAnsi="Arial" w:cs="Arial"/>
          <w:sz w:val="22"/>
          <w:szCs w:val="22"/>
        </w:rPr>
        <w:t xml:space="preserve">ávajícího k zaplacení, přičemž tato lhůta nebude kratší než 30 dnů ode dne odeslání výzvy k úhradě. </w:t>
      </w:r>
    </w:p>
    <w:p w:rsidR="00F30D58" w:rsidRDefault="002830BB" w:rsidP="00F30D58">
      <w:pPr>
        <w:tabs>
          <w:tab w:val="left" w:pos="709"/>
        </w:tabs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:rsidR="00F30D58" w:rsidRDefault="002830BB" w:rsidP="00F30D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a účinnosti okamžikem podpisu poslední smluvní stranou.</w:t>
      </w:r>
    </w:p>
    <w:p w:rsidR="00F30D58" w:rsidRDefault="002830BB" w:rsidP="00F30D58">
      <w:pPr>
        <w:numPr>
          <w:ilvl w:val="0"/>
          <w:numId w:val="7"/>
        </w:numPr>
        <w:shd w:val="clear" w:color="auto" w:fill="FFFFFF"/>
        <w:spacing w:before="240"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nepodléhá uveřejnění v registru smluv v souladu s ust</w:t>
      </w:r>
      <w:r>
        <w:rPr>
          <w:rFonts w:ascii="Arial" w:hAnsi="Arial" w:cs="Arial"/>
          <w:sz w:val="22"/>
          <w:szCs w:val="22"/>
        </w:rPr>
        <w:t>anovením § 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 2 písm. i)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smluv).</w:t>
      </w:r>
    </w:p>
    <w:p w:rsidR="00F30D58" w:rsidRDefault="002830BB" w:rsidP="00F30D58">
      <w:pPr>
        <w:numPr>
          <w:ilvl w:val="0"/>
          <w:numId w:val="7"/>
        </w:numPr>
        <w:shd w:val="clear" w:color="auto" w:fill="FFFFFF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F30D58" w:rsidRDefault="002830BB" w:rsidP="00F30D58">
      <w:pPr>
        <w:numPr>
          <w:ilvl w:val="0"/>
          <w:numId w:val="7"/>
        </w:numPr>
        <w:shd w:val="clear" w:color="auto" w:fill="FFFFFF"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</w:t>
      </w:r>
      <w:r>
        <w:rPr>
          <w:rFonts w:ascii="Arial" w:hAnsi="Arial" w:cs="Arial"/>
          <w:sz w:val="22"/>
          <w:szCs w:val="22"/>
        </w:rPr>
        <w:t>k převáděnému majetku přechází na kupujícího okamžikem převzetí převáděného majetku.</w:t>
      </w:r>
    </w:p>
    <w:p w:rsidR="00F30D58" w:rsidRDefault="002830BB" w:rsidP="00F30D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F30D58" w:rsidRDefault="002830BB" w:rsidP="00F30D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stanoveno jinak, řídí s</w:t>
      </w:r>
      <w:r>
        <w:rPr>
          <w:rFonts w:ascii="Arial" w:hAnsi="Arial" w:cs="Arial"/>
          <w:sz w:val="22"/>
          <w:szCs w:val="22"/>
        </w:rPr>
        <w:t>e práva a povinnosti smluvních stran zákonem č. 89/2012 Sb. a zákonem č. 219/2000 Sb.</w:t>
      </w:r>
    </w:p>
    <w:p w:rsidR="00F30D58" w:rsidRDefault="002830BB" w:rsidP="00F30D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formou, v podobě oboustranně uzavřených, vzestupně číslovaných dodatků smlo</w:t>
      </w:r>
      <w:r>
        <w:rPr>
          <w:rFonts w:ascii="Arial" w:hAnsi="Arial" w:cs="Arial"/>
          <w:sz w:val="22"/>
          <w:szCs w:val="22"/>
        </w:rPr>
        <w:t>uvy.</w:t>
      </w:r>
    </w:p>
    <w:p w:rsidR="00F30D58" w:rsidRDefault="002830BB" w:rsidP="00F30D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stejnopisech. Každá ze smluvních stran obdrží po jednom vyhotovení.</w:t>
      </w:r>
    </w:p>
    <w:p w:rsidR="00F30D58" w:rsidRDefault="00F30D58" w:rsidP="00F30D58">
      <w:pPr>
        <w:widowControl w:val="0"/>
        <w:autoSpaceDE w:val="0"/>
        <w:autoSpaceDN w:val="0"/>
        <w:adjustRightInd w:val="0"/>
        <w:spacing w:after="120"/>
        <w:contextualSpacing/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F30D58" w:rsidRDefault="002830BB" w:rsidP="00F30D58">
      <w:pPr>
        <w:widowControl w:val="0"/>
        <w:autoSpaceDE w:val="0"/>
        <w:autoSpaceDN w:val="0"/>
        <w:adjustRightInd w:val="0"/>
        <w:spacing w:after="120"/>
        <w:contextualSpacing/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Varianta – pouze u smluv uzavřených s ÚSC</w:t>
      </w:r>
    </w:p>
    <w:p w:rsidR="00F30D58" w:rsidRDefault="002830BB" w:rsidP="00F30D58">
      <w:p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výslovně souhlasí s tím, aby tato smlouva ve svém úplném znění byla zveřejněna v rámci </w:t>
      </w:r>
      <w:r>
        <w:rPr>
          <w:rFonts w:ascii="Arial" w:hAnsi="Arial" w:cs="Arial"/>
          <w:sz w:val="22"/>
          <w:szCs w:val="22"/>
        </w:rPr>
        <w:t>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</w:t>
      </w:r>
      <w:r>
        <w:rPr>
          <w:rFonts w:ascii="Arial" w:hAnsi="Arial" w:cs="Arial"/>
          <w:sz w:val="22"/>
          <w:szCs w:val="22"/>
        </w:rPr>
        <w:t xml:space="preserve"> zveřejnění bez stanovení jakýchkoli dalších podmínek.</w:t>
      </w:r>
    </w:p>
    <w:p w:rsidR="00F30D58" w:rsidRDefault="002830BB" w:rsidP="00F30D58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/>
        <w:ind w:hanging="426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uzavřely svobodně a vážně, nikoliv z přinucení nebo omylu. Na důkaz toho připojují své vlastnoruční podpisy.</w:t>
      </w:r>
    </w:p>
    <w:p w:rsidR="00F30D58" w:rsidRDefault="00F30D58" w:rsidP="00F30D58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2"/>
        <w:gridCol w:w="4563"/>
        <w:gridCol w:w="84"/>
      </w:tblGrid>
      <w:tr w:rsidR="0072709C" w:rsidTr="00F30D58">
        <w:trPr>
          <w:gridAfter w:val="1"/>
          <w:wAfter w:w="84" w:type="dxa"/>
        </w:trPr>
        <w:tc>
          <w:tcPr>
            <w:tcW w:w="4605" w:type="dxa"/>
          </w:tcPr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0D58" w:rsidRDefault="002830BB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Ostravě dne ...........................</w:t>
            </w:r>
          </w:p>
        </w:tc>
        <w:tc>
          <w:tcPr>
            <w:tcW w:w="4605" w:type="dxa"/>
            <w:gridSpan w:val="2"/>
          </w:tcPr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30D58" w:rsidRDefault="002830BB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Ostravě dne ...............................</w:t>
            </w:r>
          </w:p>
        </w:tc>
      </w:tr>
      <w:tr w:rsidR="0072709C" w:rsidTr="00F30D58">
        <w:trPr>
          <w:gridAfter w:val="1"/>
          <w:wAfter w:w="84" w:type="dxa"/>
          <w:trHeight w:val="925"/>
        </w:trPr>
        <w:tc>
          <w:tcPr>
            <w:tcW w:w="4605" w:type="dxa"/>
          </w:tcPr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05" w:type="dxa"/>
            <w:gridSpan w:val="2"/>
          </w:tcPr>
          <w:p w:rsidR="00F30D58" w:rsidRDefault="00F30D5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2709C" w:rsidTr="00F30D58">
        <w:trPr>
          <w:trHeight w:val="397"/>
        </w:trPr>
        <w:tc>
          <w:tcPr>
            <w:tcW w:w="4647" w:type="dxa"/>
            <w:gridSpan w:val="2"/>
          </w:tcPr>
          <w:p w:rsidR="00F30D58" w:rsidRDefault="002830BB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Ing. Karel Tošenovský</w:t>
            </w:r>
          </w:p>
          <w:p w:rsidR="00F30D58" w:rsidRDefault="002830BB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 Územního pracoviště Ostrava</w:t>
            </w: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47" w:type="dxa"/>
            <w:gridSpan w:val="2"/>
          </w:tcPr>
          <w:p w:rsidR="00F30D58" w:rsidRDefault="002830BB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...........................................                      </w:t>
            </w: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30D58" w:rsidRDefault="00F30D58">
            <w:pPr>
              <w:tabs>
                <w:tab w:val="left" w:pos="709"/>
              </w:tabs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F30D58" w:rsidRDefault="002830BB" w:rsidP="00F30D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Přílohy:</w:t>
      </w:r>
    </w:p>
    <w:p w:rsidR="00F30D58" w:rsidRDefault="002830BB" w:rsidP="00F30D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Protokol o předání předmětu aukce</w:t>
      </w:r>
    </w:p>
    <w:p w:rsidR="00F30D58" w:rsidRDefault="00F30D58" w:rsidP="00F30D58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4B2BF5">
      <w:headerReference w:type="default" r:id="rId8"/>
      <w:footerReference w:type="default" r:id="rId9"/>
      <w:footerReference w:type="first" r:id="rId10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BB" w:rsidRDefault="002830BB" w:rsidP="004B2BF5">
      <w:r>
        <w:separator/>
      </w:r>
    </w:p>
  </w:endnote>
  <w:endnote w:type="continuationSeparator" w:id="0">
    <w:p w:rsidR="002830BB" w:rsidRDefault="002830BB" w:rsidP="004B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611792"/>
      <w:docPartObj>
        <w:docPartGallery w:val="Page Numbers (Bottom of Page)"/>
        <w:docPartUnique/>
      </w:docPartObj>
    </w:sdtPr>
    <w:sdtContent>
      <w:p w:rsidR="004B2BF5" w:rsidRDefault="004B2BF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2BF5" w:rsidRDefault="004B2B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F5" w:rsidRDefault="004B2BF5">
    <w:pPr>
      <w:pStyle w:val="Zpat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BB" w:rsidRDefault="002830BB" w:rsidP="004B2BF5">
      <w:r>
        <w:separator/>
      </w:r>
    </w:p>
  </w:footnote>
  <w:footnote w:type="continuationSeparator" w:id="0">
    <w:p w:rsidR="002830BB" w:rsidRDefault="002830BB" w:rsidP="004B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F5" w:rsidRDefault="004B2BF5">
    <w:pPr>
      <w:pStyle w:val="Zhlav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</w:t>
    </w:r>
    <w:r w:rsidRPr="008E2E34">
      <w:rPr>
        <w:rFonts w:ascii="Arial" w:hAnsi="Arial" w:cs="Arial"/>
        <w:sz w:val="18"/>
        <w:szCs w:val="18"/>
      </w:rPr>
      <w:t xml:space="preserve">Čj.: </w:t>
    </w:r>
    <w:r w:rsidRPr="008E2E34">
      <w:rPr>
        <w:rFonts w:ascii="Arial" w:hAnsi="Arial" w:cs="Arial"/>
        <w:sz w:val="18"/>
        <w:szCs w:val="18"/>
      </w:rPr>
      <w:fldChar w:fldCharType="begin"/>
    </w:r>
    <w:r w:rsidRPr="008E2E34">
      <w:rPr>
        <w:rFonts w:ascii="Arial" w:hAnsi="Arial" w:cs="Arial"/>
        <w:sz w:val="18"/>
        <w:szCs w:val="18"/>
      </w:rPr>
      <w:instrText xml:space="preserve"> DOCPROPERTY  KOD.KOD_CJ  \* MERGEFORMAT </w:instrText>
    </w:r>
    <w:r w:rsidRPr="008E2E34">
      <w:rPr>
        <w:rFonts w:ascii="Arial" w:hAnsi="Arial" w:cs="Arial"/>
        <w:sz w:val="18"/>
        <w:szCs w:val="18"/>
      </w:rPr>
      <w:fldChar w:fldCharType="separate"/>
    </w:r>
    <w:r w:rsidRPr="008E2E34">
      <w:rPr>
        <w:rFonts w:ascii="Arial" w:hAnsi="Arial" w:cs="Arial"/>
        <w:sz w:val="18"/>
        <w:szCs w:val="18"/>
      </w:rPr>
      <w:t>UZSVM/O/21564/2020-HMSO</w:t>
    </w:r>
    <w:r w:rsidRPr="008E2E34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0AFF"/>
    <w:multiLevelType w:val="hybridMultilevel"/>
    <w:tmpl w:val="95E63964"/>
    <w:lvl w:ilvl="0" w:tplc="715412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AD1214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916AD4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BAAD0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192C57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C5A233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EAC940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30AC8B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3C4F87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29D66DB"/>
    <w:multiLevelType w:val="hybridMultilevel"/>
    <w:tmpl w:val="95E63964"/>
    <w:lvl w:ilvl="0" w:tplc="4F561E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49C0BF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1925D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AA075B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5E4234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48AB47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BD4B29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C4ED9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AAA0CA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5B04EB"/>
    <w:multiLevelType w:val="hybridMultilevel"/>
    <w:tmpl w:val="93129228"/>
    <w:lvl w:ilvl="0" w:tplc="9620C2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C77ED9D4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77CF020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D021C4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693802C0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EB4EA25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48256BA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2AC9816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39E7A16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01A6829"/>
    <w:multiLevelType w:val="hybridMultilevel"/>
    <w:tmpl w:val="95E63964"/>
    <w:lvl w:ilvl="0" w:tplc="CED2E5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87F420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DD045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634C06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05A61C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846428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98C2A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5CCCA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E3EC2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2335CE2"/>
    <w:multiLevelType w:val="hybridMultilevel"/>
    <w:tmpl w:val="30CA0928"/>
    <w:lvl w:ilvl="0" w:tplc="1CA06D44">
      <w:start w:val="1"/>
      <w:numFmt w:val="decimal"/>
      <w:lvlText w:val="%1."/>
      <w:lvlJc w:val="left"/>
      <w:pPr>
        <w:ind w:left="360" w:hanging="360"/>
      </w:pPr>
    </w:lvl>
    <w:lvl w:ilvl="1" w:tplc="4A6ED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8D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FAE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A0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09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29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A53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E0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50495"/>
    <w:multiLevelType w:val="hybridMultilevel"/>
    <w:tmpl w:val="CCB49418"/>
    <w:lvl w:ilvl="0" w:tplc="C8D40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2E53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C6F2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FEF8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80DFE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9667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6AD5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C29F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6EF1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D50F55"/>
    <w:multiLevelType w:val="hybridMultilevel"/>
    <w:tmpl w:val="95E63964"/>
    <w:lvl w:ilvl="0" w:tplc="AC50F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  <w:sz w:val="22"/>
        <w:szCs w:val="22"/>
      </w:rPr>
    </w:lvl>
    <w:lvl w:ilvl="1" w:tplc="087E1F1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27CAA6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F6719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B9002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67A271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BBCE9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87E7CC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C6032C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2830BB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B2BF5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B5A0C"/>
    <w:rsid w:val="00710088"/>
    <w:rsid w:val="0071682A"/>
    <w:rsid w:val="0072709C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30D58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F8A3"/>
  <w15:docId w15:val="{7DE22426-20C0-4A76-B31D-105F3246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0D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2B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2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2BF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Absolon Ivo</cp:lastModifiedBy>
  <cp:revision>4</cp:revision>
  <dcterms:created xsi:type="dcterms:W3CDTF">2018-10-02T11:29:00Z</dcterms:created>
  <dcterms:modified xsi:type="dcterms:W3CDTF">2020-11-22T14:54:00Z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O/OV/2020/25203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UZSVM/O/16938/2020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EAS - 2. kolo - hodinky</vt:lpwstr>
  </property>
  <property fmtid="{D5CDD505-2E9C-101B-9397-08002B2CF9AE}" pid="37" name="CUSTOM.VLASTNIK_CISLO_DS">
    <vt:lpwstr>c4nfs5n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Absolon Ivo</vt:lpwstr>
  </property>
  <property fmtid="{D5CDD505-2E9C-101B-9397-08002B2CF9AE}" pid="41" name="CUSTOM.VLASTNIK_JMENO_TISK">
    <vt:lpwstr/>
  </property>
  <property fmtid="{D5CDD505-2E9C-101B-9397-08002B2CF9AE}" pid="42" name="CUSTOM.VLASTNIK_MAIL">
    <vt:lpwstr>Ivo.Absolon@uzsvm.cz</vt:lpwstr>
  </property>
  <property fmtid="{D5CDD505-2E9C-101B-9397-08002B2CF9AE}" pid="43" name="CUSTOM.VLASTNIK_TELEFON">
    <vt:lpwstr>+420 597 315 435</vt:lpwstr>
  </property>
  <property fmtid="{D5CDD505-2E9C-101B-9397-08002B2CF9AE}" pid="44" name="CUSTOM.VYTVOREN_DNE">
    <vt:lpwstr>22.11.2020</vt:lpwstr>
  </property>
  <property fmtid="{D5CDD505-2E9C-101B-9397-08002B2CF9AE}" pid="45" name="KOD.KOD_CJ">
    <vt:lpwstr>UZSVM/O/21564/2020-HMSO</vt:lpwstr>
  </property>
  <property fmtid="{D5CDD505-2E9C-101B-9397-08002B2CF9AE}" pid="46" name="KOD.KOD_EVC">
    <vt:lpwstr>38477/O/2020-HMSO</vt:lpwstr>
  </property>
  <property fmtid="{D5CDD505-2E9C-101B-9397-08002B2CF9AE}" pid="47" name="KOD.KOD_EVC_BARCODE">
    <vt:lpwstr>µ#38477/O/2020-HMSO@!¸</vt:lpwstr>
  </property>
  <property fmtid="{D5CDD505-2E9C-101B-9397-08002B2CF9AE}" pid="48" name="KOD.KOD_IU_CODE">
    <vt:lpwstr>7031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faf5f116-755d-4599-8ca0-deaa9f095935</vt:lpwstr>
  </property>
  <property fmtid="{D5CDD505-2E9C-101B-9397-08002B2CF9AE}" pid="52" name="KrbDmsIdForm">
    <vt:lpwstr>faf5f116-755d-4599-8ca0-deaa9f095935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