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E85F4C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9295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E85F4C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7643/UTP/2020-UTPM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Default="00E85F4C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UZSVM/UTP/7151/2020-UTPM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524DD8" w:rsidRPr="008E2E34" w:rsidRDefault="00524DD8" w:rsidP="007A662F">
      <w:pPr>
        <w:pStyle w:val="Bezmezer"/>
        <w:rPr>
          <w:rFonts w:ascii="Arial" w:hAnsi="Arial" w:cs="Arial"/>
          <w:sz w:val="18"/>
          <w:szCs w:val="18"/>
        </w:rPr>
      </w:pPr>
    </w:p>
    <w:p w:rsidR="00333532" w:rsidRPr="00333532" w:rsidRDefault="00E85F4C" w:rsidP="00333532">
      <w:pPr>
        <w:jc w:val="both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:rsidR="00333532" w:rsidRPr="00333532" w:rsidRDefault="00E85F4C" w:rsidP="00333532">
      <w:pPr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se sídlem Rašínovo nábřeží 390/42, Nové Město,</w:t>
      </w:r>
      <w:r w:rsidRPr="00333532">
        <w:rPr>
          <w:rFonts w:ascii="Arial" w:hAnsi="Arial" w:cs="Arial"/>
          <w:sz w:val="22"/>
          <w:szCs w:val="22"/>
        </w:rPr>
        <w:t xml:space="preserve"> 128 00 Praha 2,</w:t>
      </w:r>
    </w:p>
    <w:p w:rsidR="00333532" w:rsidRPr="00333532" w:rsidRDefault="00E85F4C" w:rsidP="00333532">
      <w:pPr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 xml:space="preserve">za kterou právně jedná Ing. Ivana Kozáková, ředitelka odboru Odloučené pracoviště Teplice, </w:t>
      </w:r>
      <w:r w:rsidRPr="00333532">
        <w:rPr>
          <w:rFonts w:ascii="Arial" w:hAnsi="Arial" w:cs="Arial"/>
          <w:sz w:val="22"/>
          <w:szCs w:val="22"/>
        </w:rPr>
        <w:br/>
        <w:t>na základě Příkazu generálního ředitele č. 6/2019, v platném znění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IČO: 69797111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(dále jen „prodávající“),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a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33532">
        <w:rPr>
          <w:rFonts w:ascii="Arial" w:hAnsi="Arial" w:cs="Arial"/>
          <w:i/>
          <w:color w:val="0070C0"/>
          <w:sz w:val="22"/>
          <w:szCs w:val="22"/>
        </w:rPr>
        <w:t>Varianta - fyzická osoba</w:t>
      </w:r>
    </w:p>
    <w:p w:rsidR="00333532" w:rsidRPr="00333532" w:rsidRDefault="00E85F4C" w:rsidP="00333532">
      <w:pPr>
        <w:jc w:val="both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 xml:space="preserve">XY </w:t>
      </w:r>
    </w:p>
    <w:p w:rsidR="00333532" w:rsidRPr="00333532" w:rsidRDefault="00E85F4C" w:rsidP="00333532">
      <w:pPr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 xml:space="preserve">datum </w:t>
      </w:r>
      <w:r w:rsidRPr="00333532">
        <w:rPr>
          <w:rFonts w:ascii="Arial" w:hAnsi="Arial" w:cs="Arial"/>
          <w:sz w:val="22"/>
          <w:szCs w:val="22"/>
        </w:rPr>
        <w:t>narození ... ,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trvalý pobyt ...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(dále jen „kupující“),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33532">
        <w:rPr>
          <w:rFonts w:ascii="Arial" w:hAnsi="Arial" w:cs="Arial"/>
          <w:i/>
          <w:color w:val="0070C0"/>
          <w:sz w:val="22"/>
          <w:szCs w:val="22"/>
        </w:rPr>
        <w:t>Varianta - manželé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Manželé</w:t>
      </w:r>
    </w:p>
    <w:p w:rsidR="00333532" w:rsidRPr="00333532" w:rsidRDefault="00E85F4C" w:rsidP="00333532">
      <w:pPr>
        <w:jc w:val="both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XY</w:t>
      </w:r>
    </w:p>
    <w:p w:rsidR="00333532" w:rsidRPr="00333532" w:rsidRDefault="00E85F4C" w:rsidP="00333532">
      <w:pPr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datum narození ... ,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trvalý pobyt ... ,</w:t>
      </w:r>
    </w:p>
    <w:p w:rsidR="00333532" w:rsidRPr="00333532" w:rsidRDefault="00E85F4C" w:rsidP="00333532">
      <w:pPr>
        <w:jc w:val="both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ZY</w:t>
      </w:r>
    </w:p>
    <w:p w:rsidR="00333532" w:rsidRPr="00333532" w:rsidRDefault="00E85F4C" w:rsidP="00333532">
      <w:pPr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datum narození ... ,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trvalý pobyt ...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(dále jen „kupující“),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33532">
        <w:rPr>
          <w:rFonts w:ascii="Arial" w:hAnsi="Arial" w:cs="Arial"/>
          <w:i/>
          <w:color w:val="0070C0"/>
          <w:sz w:val="22"/>
          <w:szCs w:val="22"/>
        </w:rPr>
        <w:t>Varianta - právnická osoba</w:t>
      </w:r>
    </w:p>
    <w:p w:rsidR="00333532" w:rsidRPr="00333532" w:rsidRDefault="00E85F4C" w:rsidP="00333532">
      <w:pPr>
        <w:jc w:val="both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AB</w:t>
      </w:r>
    </w:p>
    <w:p w:rsidR="00333532" w:rsidRPr="00333532" w:rsidRDefault="00E85F4C" w:rsidP="00333532">
      <w:pPr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se sídlem ... ,</w:t>
      </w:r>
    </w:p>
    <w:p w:rsidR="00333532" w:rsidRPr="00333532" w:rsidRDefault="00E85F4C" w:rsidP="00333532">
      <w:pPr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 xml:space="preserve">kterou zastupuje ..., </w:t>
      </w:r>
    </w:p>
    <w:p w:rsidR="00333532" w:rsidRPr="00333532" w:rsidRDefault="00E85F4C" w:rsidP="00333532">
      <w:pPr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IČO ... , DIČ ... ,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zapsána v obchodním rejstříku vedeném Krajským soudem v Ústí n. L., sp. zn. ... , vl. ...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(dále jen „kupující“),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33532">
        <w:rPr>
          <w:rFonts w:ascii="Arial" w:hAnsi="Arial" w:cs="Arial"/>
          <w:i/>
          <w:color w:val="0070C0"/>
          <w:sz w:val="22"/>
          <w:szCs w:val="22"/>
        </w:rPr>
        <w:t>Varianta - územní samosprávný celek</w:t>
      </w:r>
    </w:p>
    <w:p w:rsidR="00333532" w:rsidRPr="00333532" w:rsidRDefault="00E85F4C" w:rsidP="00333532">
      <w:pPr>
        <w:jc w:val="both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 xml:space="preserve">CD </w:t>
      </w:r>
    </w:p>
    <w:p w:rsidR="00333532" w:rsidRPr="00333532" w:rsidRDefault="00E85F4C" w:rsidP="00333532">
      <w:pPr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se sídlem ... ,</w:t>
      </w:r>
    </w:p>
    <w:p w:rsidR="00333532" w:rsidRPr="00333532" w:rsidRDefault="00E85F4C" w:rsidP="00333532">
      <w:pPr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kterou zastupuje ... ,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IČO ... , DIČ ...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(dále jen „kupující“),</w:t>
      </w:r>
    </w:p>
    <w:p w:rsidR="00333532" w:rsidRPr="00333532" w:rsidRDefault="00333532" w:rsidP="00333532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lastRenderedPageBreak/>
        <w:t>uzavírají podle § 2079 a násl. zákona č. 89/2012 Sb., občanský zákoník, ve znění pozdějších předpisů (dále jen „zákon č. 89/2012 Sb.“), a podle zákona č. 219/2000 Sb., o majetku České republiky a jejím vystupování v právních vztazíc</w:t>
      </w:r>
      <w:r w:rsidRPr="00333532">
        <w:rPr>
          <w:rFonts w:ascii="Arial" w:hAnsi="Arial" w:cs="Arial"/>
          <w:sz w:val="22"/>
          <w:szCs w:val="22"/>
        </w:rPr>
        <w:t>h, ve znění pozdějších předpisů (dále jen „zákon č. 219/2000 Sb.“), tuto</w:t>
      </w:r>
    </w:p>
    <w:p w:rsidR="00BE6CD7" w:rsidRDefault="00BE6CD7" w:rsidP="00333532">
      <w:pPr>
        <w:spacing w:after="240"/>
        <w:jc w:val="center"/>
        <w:rPr>
          <w:rFonts w:ascii="Arial" w:hAnsi="Arial" w:cs="Arial"/>
          <w:b/>
          <w:spacing w:val="60"/>
        </w:rPr>
      </w:pPr>
    </w:p>
    <w:p w:rsidR="00333532" w:rsidRPr="00BE6CD7" w:rsidRDefault="00E85F4C" w:rsidP="00333532">
      <w:pPr>
        <w:spacing w:after="240"/>
        <w:jc w:val="center"/>
        <w:rPr>
          <w:rFonts w:ascii="Arial" w:hAnsi="Arial" w:cs="Arial"/>
          <w:b/>
          <w:spacing w:val="60"/>
        </w:rPr>
      </w:pPr>
      <w:r w:rsidRPr="00BE6CD7">
        <w:rPr>
          <w:rFonts w:ascii="Arial" w:hAnsi="Arial" w:cs="Arial"/>
          <w:b/>
          <w:spacing w:val="60"/>
        </w:rPr>
        <w:t>KUPNÍ SMLOUVU</w:t>
      </w:r>
    </w:p>
    <w:p w:rsidR="00333532" w:rsidRPr="00333532" w:rsidRDefault="00E85F4C" w:rsidP="00333532">
      <w:pPr>
        <w:spacing w:after="240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333532">
        <w:rPr>
          <w:rFonts w:ascii="Arial" w:hAnsi="Arial" w:cs="Arial"/>
          <w:b/>
          <w:spacing w:val="60"/>
          <w:sz w:val="22"/>
          <w:szCs w:val="22"/>
        </w:rPr>
        <w:t>č. ...</w:t>
      </w:r>
    </w:p>
    <w:p w:rsidR="00BE6CD7" w:rsidRDefault="00BE6CD7" w:rsidP="0033353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333532" w:rsidRPr="00333532" w:rsidRDefault="00E85F4C" w:rsidP="0033353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Čl. I.</w:t>
      </w:r>
    </w:p>
    <w:p w:rsidR="00333532" w:rsidRPr="00333532" w:rsidRDefault="00E85F4C" w:rsidP="00333532">
      <w:pPr>
        <w:numPr>
          <w:ilvl w:val="0"/>
          <w:numId w:val="2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Česká republika je vlastníkem níže uveden</w:t>
      </w:r>
      <w:r w:rsidR="009B6604">
        <w:rPr>
          <w:rFonts w:ascii="Arial" w:eastAsia="Calibri" w:hAnsi="Arial" w:cs="Arial"/>
          <w:sz w:val="22"/>
          <w:szCs w:val="22"/>
          <w:lang w:eastAsia="en-US"/>
        </w:rPr>
        <w:t>é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 nemovit</w:t>
      </w:r>
      <w:r w:rsidR="009B6604">
        <w:rPr>
          <w:rFonts w:ascii="Arial" w:eastAsia="Calibri" w:hAnsi="Arial" w:cs="Arial"/>
          <w:sz w:val="22"/>
          <w:szCs w:val="22"/>
          <w:lang w:eastAsia="en-US"/>
        </w:rPr>
        <w:t>é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 věc</w:t>
      </w:r>
      <w:r w:rsidR="009B6604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333532" w:rsidRPr="00333532" w:rsidRDefault="00E85F4C" w:rsidP="00333532">
      <w:pPr>
        <w:spacing w:after="240"/>
        <w:ind w:left="3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b/>
          <w:sz w:val="22"/>
          <w:szCs w:val="22"/>
          <w:lang w:eastAsia="en-US"/>
        </w:rPr>
        <w:t>Pozem</w:t>
      </w:r>
      <w:r w:rsidR="00524DD8">
        <w:rPr>
          <w:rFonts w:ascii="Arial" w:eastAsia="Calibri" w:hAnsi="Arial" w:cs="Arial"/>
          <w:b/>
          <w:sz w:val="22"/>
          <w:szCs w:val="22"/>
          <w:lang w:eastAsia="en-US"/>
        </w:rPr>
        <w:t>ek</w:t>
      </w:r>
    </w:p>
    <w:p w:rsidR="00333532" w:rsidRPr="00333532" w:rsidRDefault="00E85F4C" w:rsidP="00333532">
      <w:pPr>
        <w:numPr>
          <w:ilvl w:val="0"/>
          <w:numId w:val="7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pozemková </w:t>
      </w:r>
      <w:r w:rsidR="00970209" w:rsidRPr="00333532">
        <w:rPr>
          <w:rFonts w:ascii="Arial" w:eastAsia="Calibri" w:hAnsi="Arial" w:cs="Arial"/>
          <w:b/>
          <w:sz w:val="22"/>
          <w:szCs w:val="22"/>
          <w:lang w:eastAsia="en-US"/>
        </w:rPr>
        <w:t xml:space="preserve">parcela č.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519</w:t>
      </w:r>
      <w:r w:rsidR="00970209" w:rsidRPr="00333532">
        <w:rPr>
          <w:rFonts w:ascii="Arial" w:eastAsia="Calibri" w:hAnsi="Arial" w:cs="Arial"/>
          <w:sz w:val="22"/>
          <w:szCs w:val="22"/>
          <w:lang w:eastAsia="en-US"/>
        </w:rPr>
        <w:t xml:space="preserve">, druh pozemku – </w:t>
      </w:r>
      <w:r>
        <w:rPr>
          <w:rFonts w:ascii="Arial" w:eastAsia="Calibri" w:hAnsi="Arial" w:cs="Arial"/>
          <w:sz w:val="22"/>
          <w:szCs w:val="22"/>
          <w:lang w:eastAsia="en-US"/>
        </w:rPr>
        <w:t>vodní</w:t>
      </w:r>
      <w:r w:rsidR="00970209" w:rsidRPr="00333532">
        <w:rPr>
          <w:rFonts w:ascii="Arial" w:eastAsia="Calibri" w:hAnsi="Arial" w:cs="Arial"/>
          <w:sz w:val="22"/>
          <w:szCs w:val="22"/>
          <w:lang w:eastAsia="en-US"/>
        </w:rPr>
        <w:t xml:space="preserve"> plocha, způsob využití – </w:t>
      </w:r>
      <w:r>
        <w:rPr>
          <w:rFonts w:ascii="Arial" w:eastAsia="Calibri" w:hAnsi="Arial" w:cs="Arial"/>
          <w:sz w:val="22"/>
          <w:szCs w:val="22"/>
          <w:lang w:eastAsia="en-US"/>
        </w:rPr>
        <w:t>rybník</w:t>
      </w:r>
      <w:r w:rsidR="00970209" w:rsidRPr="00333532">
        <w:rPr>
          <w:rFonts w:ascii="Arial" w:eastAsia="Calibri" w:hAnsi="Arial" w:cs="Arial"/>
          <w:sz w:val="22"/>
          <w:szCs w:val="22"/>
          <w:lang w:eastAsia="en-US"/>
        </w:rPr>
        <w:t>, způsob ochrany – 0</w:t>
      </w:r>
    </w:p>
    <w:p w:rsidR="00333532" w:rsidRPr="00333532" w:rsidRDefault="00E85F4C" w:rsidP="00333532">
      <w:pPr>
        <w:spacing w:after="24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zapsan</w:t>
      </w:r>
      <w:r w:rsidR="00524DD8">
        <w:rPr>
          <w:rFonts w:ascii="Arial" w:eastAsia="Calibri" w:hAnsi="Arial" w:cs="Arial"/>
          <w:sz w:val="22"/>
          <w:szCs w:val="22"/>
          <w:lang w:eastAsia="en-US"/>
        </w:rPr>
        <w:t>é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 na listu vlastnictví č. 60000 pro katastrální území </w:t>
      </w:r>
      <w:r>
        <w:rPr>
          <w:rFonts w:ascii="Arial" w:eastAsia="Calibri" w:hAnsi="Arial" w:cs="Arial"/>
          <w:sz w:val="22"/>
          <w:szCs w:val="22"/>
          <w:lang w:eastAsia="en-US"/>
        </w:rPr>
        <w:t>Jeníkov u Duchcova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, obec </w:t>
      </w:r>
      <w:r>
        <w:rPr>
          <w:rFonts w:ascii="Arial" w:eastAsia="Calibri" w:hAnsi="Arial" w:cs="Arial"/>
          <w:sz w:val="22"/>
          <w:szCs w:val="22"/>
          <w:lang w:eastAsia="en-US"/>
        </w:rPr>
        <w:t>Jeníkov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, v katastru nemovitostí vedeném Katastrálním úřadem pro Ústecký kraj, </w:t>
      </w:r>
      <w:r w:rsidR="00E62199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atastrálním pracovištěm Teplice</w:t>
      </w:r>
    </w:p>
    <w:p w:rsidR="00333532" w:rsidRPr="00333532" w:rsidRDefault="00E85F4C" w:rsidP="00333532">
      <w:pPr>
        <w:spacing w:after="24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(dále jen „převáděný majetek“). </w:t>
      </w:r>
    </w:p>
    <w:p w:rsidR="00333532" w:rsidRPr="00333532" w:rsidRDefault="00E85F4C" w:rsidP="00333532">
      <w:pPr>
        <w:numPr>
          <w:ilvl w:val="0"/>
          <w:numId w:val="2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Úřad pro zastupování státu ve věcech majetkových je na základě </w:t>
      </w:r>
      <w:r w:rsidR="00524DD8">
        <w:rPr>
          <w:rFonts w:ascii="Arial" w:eastAsia="Calibri" w:hAnsi="Arial" w:cs="Arial"/>
          <w:sz w:val="22"/>
          <w:szCs w:val="22"/>
          <w:lang w:eastAsia="en-US"/>
        </w:rPr>
        <w:t xml:space="preserve">§ 29 odst. 1 zákona </w:t>
      </w:r>
      <w:r w:rsidR="00FD509C">
        <w:rPr>
          <w:rFonts w:ascii="Arial" w:eastAsia="Calibri" w:hAnsi="Arial" w:cs="Arial"/>
          <w:sz w:val="22"/>
          <w:szCs w:val="22"/>
          <w:lang w:eastAsia="en-US"/>
        </w:rPr>
        <w:br/>
      </w:r>
      <w:r w:rsidR="00524DD8">
        <w:rPr>
          <w:rFonts w:ascii="Arial" w:eastAsia="Calibri" w:hAnsi="Arial" w:cs="Arial"/>
          <w:sz w:val="22"/>
          <w:szCs w:val="22"/>
          <w:lang w:eastAsia="en-US"/>
        </w:rPr>
        <w:t xml:space="preserve">č. 201/2002 Sb., o Úřadu pro zastupování státu ve věcech majetkových, ve znění pozdějších předpisů, s uvedeným majetkem státu (s uvedenou nemovitou věcí) příslušný hospodařit </w:t>
      </w:r>
      <w:r w:rsidR="001A33C0">
        <w:rPr>
          <w:rFonts w:ascii="Arial" w:eastAsia="Calibri" w:hAnsi="Arial" w:cs="Arial"/>
          <w:sz w:val="22"/>
          <w:szCs w:val="22"/>
          <w:lang w:eastAsia="en-US"/>
        </w:rPr>
        <w:br/>
      </w:r>
      <w:r w:rsidR="00524DD8">
        <w:rPr>
          <w:rFonts w:ascii="Arial" w:eastAsia="Calibri" w:hAnsi="Arial" w:cs="Arial"/>
          <w:sz w:val="22"/>
          <w:szCs w:val="22"/>
          <w:lang w:eastAsia="en-US"/>
        </w:rPr>
        <w:t>ve smyslu § 9 zákona č. 219/2000 Sb.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33532" w:rsidRPr="00333532" w:rsidRDefault="00E85F4C" w:rsidP="00333532">
      <w:pPr>
        <w:numPr>
          <w:ilvl w:val="0"/>
          <w:numId w:val="2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Tato kupní smlouva je uzavírána na základě výsledků aukce uskutečněné prostřednictvím Elektronického aukčního systému prodávajícího.</w:t>
      </w:r>
    </w:p>
    <w:p w:rsidR="00333532" w:rsidRPr="00333532" w:rsidRDefault="00E85F4C" w:rsidP="0033353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Čl. II.</w:t>
      </w:r>
    </w:p>
    <w:p w:rsidR="00333532" w:rsidRPr="00333532" w:rsidRDefault="00E85F4C" w:rsidP="00333532">
      <w:pPr>
        <w:numPr>
          <w:ilvl w:val="0"/>
          <w:numId w:val="6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Prodávající převádí touto smlouvou kupujícímu vlastnické právo k převáděn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ému majetku </w:t>
      </w:r>
      <w:r w:rsidR="006F720C">
        <w:rPr>
          <w:rFonts w:ascii="Arial" w:eastAsia="Calibri" w:hAnsi="Arial" w:cs="Arial"/>
          <w:sz w:val="22"/>
          <w:szCs w:val="22"/>
          <w:lang w:eastAsia="en-US"/>
        </w:rPr>
        <w:br/>
      </w:r>
      <w:r w:rsidR="00524DD8">
        <w:rPr>
          <w:rFonts w:ascii="Arial" w:eastAsia="Calibri" w:hAnsi="Arial" w:cs="Arial"/>
          <w:sz w:val="22"/>
          <w:szCs w:val="22"/>
          <w:lang w:eastAsia="en-US"/>
        </w:rPr>
        <w:t>s</w:t>
      </w:r>
      <w:r w:rsidR="00FA12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právy a povinnostmi, a to za kupní cenu stanovenou v Čl. II. odst. 2 této smlouvy. Kupující toto právo za kupní cenu uvedenou v Čl. II. odst. 2 této smlouvy přijímá.</w:t>
      </w:r>
    </w:p>
    <w:p w:rsidR="00333532" w:rsidRPr="00333532" w:rsidRDefault="00E85F4C" w:rsidP="00333532">
      <w:pPr>
        <w:ind w:left="360"/>
        <w:jc w:val="both"/>
        <w:rPr>
          <w:rFonts w:ascii="Arial" w:eastAsia="Calibri" w:hAnsi="Arial" w:cs="Arial"/>
          <w:sz w:val="22"/>
          <w:szCs w:val="22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333532">
        <w:rPr>
          <w:rFonts w:ascii="Arial" w:eastAsia="Calibri" w:hAnsi="Arial" w:cs="Arial"/>
          <w:b/>
          <w:sz w:val="22"/>
          <w:szCs w:val="22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Varianta odst. 1 – jde-li o nabytí do společného jmění manželů:</w:t>
      </w:r>
      <w:r w:rsidRPr="00333532">
        <w:rPr>
          <w:rFonts w:ascii="Arial" w:eastAsia="Calibri" w:hAnsi="Arial" w:cs="Arial"/>
          <w:sz w:val="22"/>
          <w:szCs w:val="22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33532" w:rsidRPr="00333532" w:rsidRDefault="00E85F4C" w:rsidP="00333532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i/>
          <w:sz w:val="22"/>
          <w:szCs w:val="22"/>
          <w:lang w:eastAsia="en-US"/>
        </w:rPr>
        <w:br/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Prodávající převádí touto smlouvou kupujícím vlastnické právo k převáděnému majetku </w:t>
      </w:r>
      <w:r w:rsidR="006F720C">
        <w:rPr>
          <w:rFonts w:ascii="Arial" w:eastAsia="Calibri" w:hAnsi="Arial" w:cs="Arial"/>
          <w:sz w:val="22"/>
          <w:szCs w:val="22"/>
          <w:lang w:eastAsia="en-US"/>
        </w:rPr>
        <w:br/>
      </w:r>
      <w:r w:rsidR="00524DD8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právy a povinnostmi, a to za kupní cenu, stanovenou v Čl. II. odst. 2 této smlouvy. Kupující toto právo za kupní cenu uvedenou v Čl.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II. odst. 2 této smlouvy přijímají do společného jmění manželů.</w:t>
      </w:r>
    </w:p>
    <w:p w:rsidR="00333532" w:rsidRPr="00333532" w:rsidRDefault="00333532" w:rsidP="00333532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33532" w:rsidRPr="00333532" w:rsidRDefault="00E85F4C" w:rsidP="00333532">
      <w:pPr>
        <w:ind w:left="36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Varianta odst. 1 – jde-li o nabytí do podílového spoluvlastnictví:</w:t>
      </w:r>
      <w:r w:rsidRPr="00333532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</w:p>
    <w:p w:rsidR="00333532" w:rsidRPr="00333532" w:rsidRDefault="00E85F4C" w:rsidP="00FA12D7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i/>
          <w:sz w:val="22"/>
          <w:szCs w:val="22"/>
          <w:lang w:eastAsia="en-US"/>
        </w:rPr>
        <w:br/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Prodávající převádí touto smlouvou kupujícím vlastnické právo k převáděnému majetku</w:t>
      </w:r>
      <w:r w:rsidR="00524D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F720C">
        <w:rPr>
          <w:rFonts w:ascii="Arial" w:eastAsia="Calibri" w:hAnsi="Arial" w:cs="Arial"/>
          <w:sz w:val="22"/>
          <w:szCs w:val="22"/>
          <w:lang w:eastAsia="en-US"/>
        </w:rPr>
        <w:br/>
      </w:r>
      <w:r w:rsidR="00524DD8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 právy a povinnostmi, a to za kupní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cenu stanovenou v Čl. II. odst. 2 této smlouvy. Kupující toto právo za kupní cenu uvedenou v Čl. II. odst. 2 této smlouvy přijímají do podílového spoluvlastnictví, a to např. XY podíl ve výši ... vzhledem k celku a YZ podíl ve výši ... vzhledem k celku.</w:t>
      </w:r>
    </w:p>
    <w:p w:rsidR="00333532" w:rsidRPr="00333532" w:rsidRDefault="00333532" w:rsidP="00333532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4DD8" w:rsidRPr="00BE6CD7" w:rsidRDefault="00E85F4C" w:rsidP="00BE6CD7">
      <w:pPr>
        <w:numPr>
          <w:ilvl w:val="0"/>
          <w:numId w:val="6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lastRenderedPageBreak/>
        <w:t>K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upní cena za převáděný majetek ve smyslu odst. 1 tohoto článku činí ... Kč (slovy: ...korun českých).</w:t>
      </w:r>
    </w:p>
    <w:p w:rsidR="00333532" w:rsidRPr="00333532" w:rsidRDefault="00E85F4C" w:rsidP="0033353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Čl. III.</w:t>
      </w:r>
    </w:p>
    <w:p w:rsidR="00333532" w:rsidRPr="00333532" w:rsidRDefault="00E85F4C" w:rsidP="00333532">
      <w:pPr>
        <w:numPr>
          <w:ilvl w:val="0"/>
          <w:numId w:val="9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na úhradu kupní ceny stanovené v Čl. II. odst. 2 bude použita částka ve výši </w:t>
      </w:r>
      <w:r w:rsidR="0053684A">
        <w:rPr>
          <w:rFonts w:ascii="Arial" w:eastAsia="Calibri" w:hAnsi="Arial" w:cs="Arial"/>
          <w:b/>
          <w:sz w:val="22"/>
          <w:szCs w:val="22"/>
          <w:lang w:eastAsia="en-US"/>
        </w:rPr>
        <w:t>65</w:t>
      </w:r>
      <w:r w:rsidRPr="00333532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53684A">
        <w:rPr>
          <w:rFonts w:ascii="Arial" w:eastAsia="Calibri" w:hAnsi="Arial" w:cs="Arial"/>
          <w:b/>
          <w:sz w:val="22"/>
          <w:szCs w:val="22"/>
          <w:lang w:eastAsia="en-US"/>
        </w:rPr>
        <w:t>9</w:t>
      </w:r>
      <w:r w:rsidRPr="00333532">
        <w:rPr>
          <w:rFonts w:ascii="Arial" w:eastAsia="Calibri" w:hAnsi="Arial" w:cs="Arial"/>
          <w:b/>
          <w:sz w:val="22"/>
          <w:szCs w:val="22"/>
          <w:lang w:eastAsia="en-US"/>
        </w:rPr>
        <w:t>00 Kč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, kterou složil kupující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v elektronické aukci na účet prodávajícího č. 6015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noBreakHyphen/>
        <w:t>8124411/0710, variabilní symbol ... , dne ... (dále jen „kauce“). Zbývající část kupní ceny ve výši ... Kč zaplatí kupující na účet prodávajícího č. 19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noBreakHyphen/>
        <w:t xml:space="preserve">8124411/0710, variabilní symbol ... , a to ve lhůtě,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která bude kupujícímu oznámena ve výzvě prodávajícího k zaplacení, přičemž tato lhůta nebude kratší než ... dnů ode dne odeslání výzvy k úhradě.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br/>
      </w:r>
      <w:r w:rsidRPr="00333532">
        <w:rPr>
          <w:rFonts w:ascii="Arial" w:eastAsia="Calibri" w:hAnsi="Arial" w:cs="Arial"/>
          <w:b/>
          <w:i/>
          <w:sz w:val="22"/>
          <w:szCs w:val="22"/>
          <w:lang w:eastAsia="en-US"/>
        </w:rPr>
        <w:t>U nabytí do spoluvlastnictví dále: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 Prodávající není povinen přijmout část plnění kupní ceny, byť by jí byl uhra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zen jeden z prodávaných ideálních spoluvlastnických podílů.</w:t>
      </w:r>
    </w:p>
    <w:p w:rsidR="00333532" w:rsidRPr="00333532" w:rsidRDefault="00E85F4C" w:rsidP="00333532">
      <w:pPr>
        <w:numPr>
          <w:ilvl w:val="0"/>
          <w:numId w:val="9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Neuhradí-li kupující celou kupní cenu ve lhůtě, stanovené touto smlouvou, je kupující povinen zaplatit smluvní pokutu ve výši 0,1 % z celkové kupní ceny za každý den prodlení.</w:t>
      </w:r>
    </w:p>
    <w:p w:rsidR="00333532" w:rsidRPr="00333532" w:rsidRDefault="00E85F4C" w:rsidP="00333532">
      <w:pPr>
        <w:numPr>
          <w:ilvl w:val="0"/>
          <w:numId w:val="9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V případě prodlení s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 úhradou kupní ceny je kupující povinen zaplatit kromě smluvní pokuty dle předchozího odstavce i úroky z prodlení dle platné právní úpravy.</w:t>
      </w:r>
    </w:p>
    <w:p w:rsidR="00333532" w:rsidRPr="00333532" w:rsidRDefault="00E85F4C" w:rsidP="00333532">
      <w:pPr>
        <w:numPr>
          <w:ilvl w:val="0"/>
          <w:numId w:val="9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Pokud kupující v prohlášeních podle Čl. V. uvede nepravdivé skutečnosti o svých dluzích vůči prodávajícímu a své způ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sobilosti nabýt převáděný majetek, má prodávající právo požadovat na kupujícím úhradu smluvní pokuty ve výši 10 % z kupní ceny.</w:t>
      </w:r>
    </w:p>
    <w:p w:rsidR="00333532" w:rsidRPr="00333532" w:rsidRDefault="00E85F4C" w:rsidP="00333532">
      <w:pPr>
        <w:numPr>
          <w:ilvl w:val="0"/>
          <w:numId w:val="9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Pokuty podle odst. 2 nebo 4 jsou splatné na účet prodávajícího č. 19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noBreakHyphen/>
        <w:t xml:space="preserve">8124411/0710 ve lhůtě, která bude kupujícímu oznámena ve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výzvě prodávajícího k zaplacení, přičemž tato lhůta nebude kratší než ... dnů ode dne odeslání výzvy k úhradě.</w:t>
      </w:r>
    </w:p>
    <w:p w:rsidR="00333532" w:rsidRPr="00333532" w:rsidRDefault="00E85F4C" w:rsidP="00333532">
      <w:pPr>
        <w:numPr>
          <w:ilvl w:val="0"/>
          <w:numId w:val="9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Pro účely této smlouvy se kupní cena, smluvní pokuta, úroky z prodlení a případné jiné platby, považují za zaplacené okamžikem připsání celé hraz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ené částky na účet prodávajícího.</w:t>
      </w:r>
    </w:p>
    <w:p w:rsidR="00333532" w:rsidRPr="00333532" w:rsidRDefault="00E85F4C" w:rsidP="0033353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Čl. IV.</w:t>
      </w:r>
    </w:p>
    <w:p w:rsidR="00333532" w:rsidRPr="00333532" w:rsidRDefault="00E85F4C" w:rsidP="00333532">
      <w:pPr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 xml:space="preserve">Prodávající prohlašuje, že mu není známo, že by na převáděném majetku vázla nějaká omezení, závazky či právní vady s výjimkou </w:t>
      </w:r>
      <w:r>
        <w:rPr>
          <w:rFonts w:ascii="Arial" w:hAnsi="Arial" w:cs="Arial"/>
          <w:sz w:val="22"/>
          <w:szCs w:val="22"/>
        </w:rPr>
        <w:t xml:space="preserve">následujících </w:t>
      </w:r>
      <w:r w:rsidRPr="00333532">
        <w:rPr>
          <w:rFonts w:ascii="Arial" w:hAnsi="Arial" w:cs="Arial"/>
          <w:sz w:val="22"/>
          <w:szCs w:val="22"/>
        </w:rPr>
        <w:t>skutečnost</w:t>
      </w:r>
      <w:r>
        <w:rPr>
          <w:rFonts w:ascii="Arial" w:hAnsi="Arial" w:cs="Arial"/>
          <w:sz w:val="22"/>
          <w:szCs w:val="22"/>
        </w:rPr>
        <w:t>í:</w:t>
      </w:r>
    </w:p>
    <w:p w:rsidR="00333532" w:rsidRPr="00333532" w:rsidRDefault="00333532" w:rsidP="00333532">
      <w:pPr>
        <w:jc w:val="both"/>
        <w:rPr>
          <w:rFonts w:ascii="Arial" w:hAnsi="Arial" w:cs="Arial"/>
          <w:sz w:val="22"/>
          <w:szCs w:val="22"/>
        </w:rPr>
      </w:pPr>
    </w:p>
    <w:p w:rsidR="00FA12D7" w:rsidRPr="00E62199" w:rsidRDefault="00E85F4C" w:rsidP="00FA12D7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val="en-US" w:eastAsia="en-US"/>
        </w:rPr>
      </w:pPr>
      <w:r w:rsidRPr="00E62199">
        <w:rPr>
          <w:rFonts w:ascii="Arial" w:eastAsia="Calibri" w:hAnsi="Arial" w:cs="Arial"/>
          <w:sz w:val="22"/>
          <w:szCs w:val="22"/>
          <w:u w:val="single"/>
          <w:lang w:eastAsia="en-US"/>
        </w:rPr>
        <w:t>Liniové stavby</w:t>
      </w:r>
    </w:p>
    <w:p w:rsidR="00333532" w:rsidRPr="00E62199" w:rsidRDefault="00E85F4C" w:rsidP="000462A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E62199">
        <w:rPr>
          <w:rFonts w:ascii="Arial" w:eastAsia="Calibri" w:hAnsi="Arial" w:cs="Arial"/>
          <w:sz w:val="22"/>
          <w:szCs w:val="22"/>
          <w:lang w:eastAsia="en-US"/>
        </w:rPr>
        <w:t xml:space="preserve">v zájmovém území se nachází </w:t>
      </w:r>
      <w:r w:rsidR="001B4CFC" w:rsidRPr="00E62199">
        <w:rPr>
          <w:rFonts w:ascii="Arial" w:eastAsia="Calibri" w:hAnsi="Arial" w:cs="Arial"/>
          <w:sz w:val="22"/>
          <w:szCs w:val="22"/>
          <w:lang w:eastAsia="en-US"/>
        </w:rPr>
        <w:t xml:space="preserve">nebo ochranným pásmem zasahuje energetické zařízení typu: </w:t>
      </w:r>
      <w:r w:rsidRPr="00E62199">
        <w:rPr>
          <w:rFonts w:ascii="Arial" w:eastAsia="Calibri" w:hAnsi="Arial" w:cs="Arial"/>
          <w:sz w:val="22"/>
          <w:szCs w:val="22"/>
          <w:lang w:eastAsia="en-US"/>
        </w:rPr>
        <w:t xml:space="preserve">nadzemní </w:t>
      </w:r>
      <w:r w:rsidR="001B4CFC" w:rsidRPr="00E62199">
        <w:rPr>
          <w:rFonts w:ascii="Arial" w:eastAsia="Calibri" w:hAnsi="Arial" w:cs="Arial"/>
          <w:sz w:val="22"/>
          <w:szCs w:val="22"/>
          <w:lang w:eastAsia="en-US"/>
        </w:rPr>
        <w:t xml:space="preserve">síť VN </w:t>
      </w:r>
      <w:r w:rsidR="00145A1F" w:rsidRPr="00E62199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1B4CFC" w:rsidRPr="00E62199">
        <w:rPr>
          <w:rFonts w:ascii="Arial" w:eastAsia="Calibri" w:hAnsi="Arial" w:cs="Arial"/>
          <w:sz w:val="22"/>
          <w:szCs w:val="22"/>
          <w:lang w:eastAsia="en-US"/>
        </w:rPr>
        <w:t xml:space="preserve"> střet</w:t>
      </w:r>
      <w:r w:rsidR="00145A1F" w:rsidRPr="00E62199">
        <w:rPr>
          <w:rFonts w:ascii="Arial" w:eastAsia="Calibri" w:hAnsi="Arial" w:cs="Arial"/>
          <w:sz w:val="22"/>
          <w:szCs w:val="22"/>
          <w:lang w:eastAsia="en-US"/>
        </w:rPr>
        <w:t xml:space="preserve"> ve vlastnictví společnosti ČEZ Distribuce, a.s.</w:t>
      </w:r>
      <w:r w:rsidR="00FA12D7" w:rsidRPr="00E6219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FA12D7" w:rsidRPr="00E62199" w:rsidRDefault="00E85F4C" w:rsidP="000462A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E62199">
        <w:rPr>
          <w:rFonts w:ascii="Arial" w:eastAsia="Calibri" w:hAnsi="Arial" w:cs="Arial"/>
          <w:sz w:val="22"/>
          <w:szCs w:val="22"/>
          <w:lang w:val="en-US" w:eastAsia="en-US"/>
        </w:rPr>
        <w:t>přívodní potrubí k čerpání vody z převáděného majetku na sousední pozemek p.p.č 518, na kterém stojí čerpací stanice, přívodn</w:t>
      </w:r>
      <w:r w:rsidRPr="00E62199">
        <w:rPr>
          <w:rFonts w:ascii="Arial" w:eastAsia="Calibri" w:hAnsi="Arial" w:cs="Arial"/>
          <w:sz w:val="22"/>
          <w:szCs w:val="22"/>
          <w:lang w:val="en-US" w:eastAsia="en-US"/>
        </w:rPr>
        <w:t>í potrubí patří firmě AEG</w:t>
      </w:r>
      <w:r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FA12D7" w:rsidRPr="00333532" w:rsidRDefault="00FA12D7" w:rsidP="00FA12D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333532" w:rsidRPr="00333532" w:rsidRDefault="00333532" w:rsidP="00333532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333532" w:rsidRPr="00333532" w:rsidRDefault="00E85F4C" w:rsidP="00FA12D7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333532">
        <w:rPr>
          <w:rFonts w:ascii="Arial" w:hAnsi="Arial" w:cs="Arial"/>
          <w:sz w:val="22"/>
          <w:szCs w:val="22"/>
          <w:u w:val="single"/>
          <w:lang w:val="en-US"/>
        </w:rPr>
        <w:t>Územní plan</w:t>
      </w:r>
    </w:p>
    <w:p w:rsidR="00FA12D7" w:rsidRPr="00E62199" w:rsidRDefault="00E85F4C" w:rsidP="00E6219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62199">
        <w:rPr>
          <w:rFonts w:ascii="Arial" w:hAnsi="Arial" w:cs="Arial"/>
          <w:sz w:val="22"/>
          <w:szCs w:val="22"/>
          <w:lang w:val="en-US"/>
        </w:rPr>
        <w:t>d</w:t>
      </w:r>
      <w:r w:rsidR="003E4858" w:rsidRPr="00E62199">
        <w:rPr>
          <w:rFonts w:ascii="Arial" w:hAnsi="Arial" w:cs="Arial"/>
          <w:sz w:val="22"/>
          <w:szCs w:val="22"/>
          <w:lang w:val="en-US"/>
        </w:rPr>
        <w:t xml:space="preserve">le vyjádření Magistrátu města Teplice – odboru územního plánování a stavebního řádu </w:t>
      </w:r>
      <w:r w:rsidR="003E4858" w:rsidRPr="00E62199">
        <w:rPr>
          <w:rFonts w:ascii="Arial" w:hAnsi="Arial" w:cs="Arial"/>
          <w:sz w:val="22"/>
          <w:szCs w:val="22"/>
          <w:lang w:val="en-US"/>
        </w:rPr>
        <w:br/>
        <w:t xml:space="preserve">se dle územního plánu </w:t>
      </w:r>
      <w:r w:rsidR="007D56B0" w:rsidRPr="00E62199">
        <w:rPr>
          <w:rFonts w:ascii="Arial" w:hAnsi="Arial" w:cs="Arial"/>
          <w:sz w:val="22"/>
          <w:szCs w:val="22"/>
          <w:lang w:val="en-US"/>
        </w:rPr>
        <w:t xml:space="preserve"> obce </w:t>
      </w:r>
      <w:r w:rsidRPr="00E62199">
        <w:rPr>
          <w:rFonts w:ascii="Arial" w:hAnsi="Arial" w:cs="Arial"/>
          <w:sz w:val="22"/>
          <w:szCs w:val="22"/>
          <w:lang w:val="en-US"/>
        </w:rPr>
        <w:t>se převáděný majetek</w:t>
      </w:r>
      <w:r w:rsidR="007D56B0" w:rsidRPr="00E62199">
        <w:rPr>
          <w:rFonts w:ascii="Arial" w:hAnsi="Arial" w:cs="Arial"/>
          <w:sz w:val="22"/>
          <w:szCs w:val="22"/>
          <w:lang w:val="en-US"/>
        </w:rPr>
        <w:t xml:space="preserve"> nachází v nezastavěném území </w:t>
      </w:r>
      <w:r w:rsidRPr="00E62199">
        <w:rPr>
          <w:rFonts w:ascii="Arial" w:hAnsi="Arial" w:cs="Arial"/>
          <w:sz w:val="22"/>
          <w:szCs w:val="22"/>
          <w:lang w:val="en-US"/>
        </w:rPr>
        <w:br/>
      </w:r>
      <w:r w:rsidR="007D56B0" w:rsidRPr="00E62199">
        <w:rPr>
          <w:rFonts w:ascii="Arial" w:hAnsi="Arial" w:cs="Arial"/>
          <w:sz w:val="22"/>
          <w:szCs w:val="22"/>
          <w:lang w:val="en-US"/>
        </w:rPr>
        <w:t>s funkčním využití plochy – část vodní plochy a toky – část zalesněné plochy</w:t>
      </w:r>
      <w:r w:rsidRPr="00E62199">
        <w:rPr>
          <w:rFonts w:ascii="Arial" w:hAnsi="Arial" w:cs="Arial"/>
          <w:sz w:val="22"/>
          <w:szCs w:val="22"/>
          <w:lang w:val="en-US"/>
        </w:rPr>
        <w:t>,</w:t>
      </w:r>
      <w:r w:rsidR="003E4858" w:rsidRPr="00E6219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C0437" w:rsidRPr="00E62199" w:rsidRDefault="00E85F4C" w:rsidP="00E6219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62199">
        <w:rPr>
          <w:rFonts w:ascii="Arial" w:hAnsi="Arial" w:cs="Arial"/>
          <w:sz w:val="22"/>
          <w:szCs w:val="22"/>
          <w:lang w:val="en-US"/>
        </w:rPr>
        <w:t>l</w:t>
      </w:r>
      <w:r w:rsidRPr="00E62199">
        <w:rPr>
          <w:rFonts w:ascii="Arial" w:hAnsi="Arial" w:cs="Arial"/>
          <w:sz w:val="22"/>
          <w:szCs w:val="22"/>
        </w:rPr>
        <w:t>imity – ochranné pásmo přírodního léčivého zdroje a zdroje přírodní minerální vody, aktivní zóna záplavového území, záplavové území s periodicitou 5 a 20 a 100 let, vodní útvar povrchových vod/vody tekoucí, nadzemní a podzem</w:t>
      </w:r>
      <w:r w:rsidRPr="00E62199">
        <w:rPr>
          <w:rFonts w:ascii="Arial" w:hAnsi="Arial" w:cs="Arial"/>
          <w:sz w:val="22"/>
          <w:szCs w:val="22"/>
        </w:rPr>
        <w:t>ní vedení elektrické energie, ložiska nerostných surovin, chráněná ložisková území, ZÚR/dopravní infrastruktura</w:t>
      </w:r>
      <w:r w:rsidR="00FA12D7" w:rsidRPr="00E62199">
        <w:rPr>
          <w:rFonts w:ascii="Arial" w:hAnsi="Arial" w:cs="Arial"/>
          <w:sz w:val="22"/>
          <w:szCs w:val="22"/>
        </w:rPr>
        <w:t>,</w:t>
      </w:r>
      <w:r w:rsidRPr="00E62199">
        <w:rPr>
          <w:rFonts w:ascii="Arial" w:hAnsi="Arial" w:cs="Arial"/>
          <w:sz w:val="22"/>
          <w:szCs w:val="22"/>
        </w:rPr>
        <w:t xml:space="preserve"> </w:t>
      </w:r>
    </w:p>
    <w:p w:rsidR="00FA12D7" w:rsidRDefault="00FA12D7" w:rsidP="004C043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A12D7" w:rsidRDefault="00E85F4C" w:rsidP="00FA12D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A12D7">
        <w:rPr>
          <w:rFonts w:ascii="Arial" w:hAnsi="Arial" w:cs="Arial"/>
          <w:sz w:val="22"/>
          <w:szCs w:val="22"/>
          <w:u w:val="single"/>
        </w:rPr>
        <w:t>Ostatní</w:t>
      </w:r>
    </w:p>
    <w:p w:rsidR="00FA12D7" w:rsidRDefault="00E85F4C" w:rsidP="00FA12D7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A12D7">
        <w:rPr>
          <w:rFonts w:ascii="Arial" w:hAnsi="Arial" w:cs="Arial"/>
          <w:sz w:val="22"/>
          <w:szCs w:val="22"/>
        </w:rPr>
        <w:t xml:space="preserve">řeváděný majetek je součástí mimopstruhového rybářského revíru č. 441 003 Bílina 4 </w:t>
      </w:r>
      <w:r w:rsidRPr="00FA12D7">
        <w:rPr>
          <w:rFonts w:ascii="Arial" w:hAnsi="Arial" w:cs="Arial"/>
          <w:sz w:val="22"/>
          <w:szCs w:val="22"/>
        </w:rPr>
        <w:br/>
      </w:r>
      <w:r w:rsidRPr="00FA12D7">
        <w:rPr>
          <w:rFonts w:ascii="Arial" w:hAnsi="Arial" w:cs="Arial"/>
          <w:sz w:val="22"/>
          <w:szCs w:val="22"/>
        </w:rPr>
        <w:t xml:space="preserve">a předmětný rybářský revír byl vyhlášen rozhodnutím Ministerstva zemědělství ČR </w:t>
      </w:r>
      <w:r>
        <w:rPr>
          <w:rFonts w:ascii="Arial" w:hAnsi="Arial" w:cs="Arial"/>
          <w:sz w:val="22"/>
          <w:szCs w:val="22"/>
        </w:rPr>
        <w:br/>
      </w:r>
      <w:r w:rsidRPr="00FA12D7">
        <w:rPr>
          <w:rFonts w:ascii="Arial" w:hAnsi="Arial" w:cs="Arial"/>
          <w:sz w:val="22"/>
          <w:szCs w:val="22"/>
        </w:rPr>
        <w:t xml:space="preserve">pod č.j. 458/12/93-310 ze dne 11.03.1993. Uživatelem předmětného revíru je Český </w:t>
      </w:r>
      <w:r w:rsidRPr="00FA12D7">
        <w:rPr>
          <w:rFonts w:ascii="Arial" w:hAnsi="Arial" w:cs="Arial"/>
          <w:sz w:val="22"/>
          <w:szCs w:val="22"/>
        </w:rPr>
        <w:lastRenderedPageBreak/>
        <w:t xml:space="preserve">rybářský svaz, z.s. Severočeský územní svaz, se sídlem Střekovské nábřeží 51, 400 03 Ústí nad </w:t>
      </w:r>
      <w:r w:rsidRPr="00FA12D7">
        <w:rPr>
          <w:rFonts w:ascii="Arial" w:hAnsi="Arial" w:cs="Arial"/>
          <w:sz w:val="22"/>
          <w:szCs w:val="22"/>
        </w:rPr>
        <w:t>Labem</w:t>
      </w:r>
      <w:r>
        <w:rPr>
          <w:rFonts w:ascii="Arial" w:hAnsi="Arial" w:cs="Arial"/>
          <w:sz w:val="22"/>
          <w:szCs w:val="22"/>
        </w:rPr>
        <w:t>,</w:t>
      </w:r>
    </w:p>
    <w:p w:rsidR="00E62199" w:rsidRPr="00E62199" w:rsidRDefault="00E85F4C" w:rsidP="00FA12D7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62199">
        <w:rPr>
          <w:rFonts w:ascii="Arial" w:hAnsi="Arial" w:cs="Arial"/>
          <w:sz w:val="22"/>
          <w:szCs w:val="22"/>
        </w:rPr>
        <w:t>přístup na převáděný majetek je možný po komunikaci obce,</w:t>
      </w:r>
    </w:p>
    <w:p w:rsidR="00E62199" w:rsidRPr="00E62199" w:rsidRDefault="00E85F4C" w:rsidP="00E6219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62199">
        <w:rPr>
          <w:rFonts w:ascii="Arial" w:hAnsi="Arial" w:cs="Arial"/>
          <w:sz w:val="22"/>
          <w:szCs w:val="22"/>
        </w:rPr>
        <w:t xml:space="preserve">e Kamenitému rybníku je nutné, aby nový vlastník zpracoval pasport a manipulační řád </w:t>
      </w:r>
      <w:r>
        <w:rPr>
          <w:rFonts w:ascii="Arial" w:hAnsi="Arial" w:cs="Arial"/>
          <w:sz w:val="22"/>
          <w:szCs w:val="22"/>
        </w:rPr>
        <w:br/>
      </w:r>
      <w:r w:rsidRPr="00E62199">
        <w:rPr>
          <w:rFonts w:ascii="Arial" w:hAnsi="Arial" w:cs="Arial"/>
          <w:sz w:val="22"/>
          <w:szCs w:val="22"/>
        </w:rPr>
        <w:t>a podal si žádost o povolení k nakládání s povrchovými vodami v Kamenitém rybníku podle zákona č. 254/20</w:t>
      </w:r>
      <w:r w:rsidRPr="00E62199">
        <w:rPr>
          <w:rFonts w:ascii="Arial" w:hAnsi="Arial" w:cs="Arial"/>
          <w:sz w:val="22"/>
          <w:szCs w:val="22"/>
        </w:rPr>
        <w:t xml:space="preserve">01 Sb., vodní zákon, ve znění pozdějších předpisů, na Magistrát města Teplic, odbor životního prostředí, protože Kamenitý rybník je tímto odborem považován za vodní dílo (stavbu). </w:t>
      </w:r>
    </w:p>
    <w:p w:rsidR="00333532" w:rsidRPr="00333532" w:rsidRDefault="00333532" w:rsidP="00BE6CD7">
      <w:pPr>
        <w:pStyle w:val="Odstavecseseznamem"/>
        <w:jc w:val="both"/>
        <w:rPr>
          <w:rFonts w:ascii="Arial" w:hAnsi="Arial" w:cs="Arial"/>
          <w:sz w:val="22"/>
          <w:szCs w:val="22"/>
          <w:highlight w:val="cyan"/>
        </w:rPr>
      </w:pPr>
    </w:p>
    <w:p w:rsidR="00333532" w:rsidRPr="00333532" w:rsidRDefault="00E85F4C" w:rsidP="0033353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Čl. V.</w:t>
      </w:r>
    </w:p>
    <w:p w:rsidR="00EB5FB5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Kupující prohlašuje, že je mu současný stav převáděného majetku dob</w:t>
      </w:r>
      <w:r w:rsidRPr="00333532">
        <w:rPr>
          <w:rFonts w:ascii="Arial" w:hAnsi="Arial" w:cs="Arial"/>
          <w:sz w:val="22"/>
          <w:szCs w:val="22"/>
        </w:rPr>
        <w:t>ře znám. Kupující rovněž prohlašuje, že je schopen dodržet své závazky vyplývající z této smlouvy, zejména zaplatit včas a řádně kupní cenu, a že vůči prodávajícímu nemá žádný dluh, jehož plnění je vynutitelné na základě vykonatelného exekučního titulu pod</w:t>
      </w:r>
      <w:r w:rsidRPr="00333532">
        <w:rPr>
          <w:rFonts w:ascii="Arial" w:hAnsi="Arial" w:cs="Arial"/>
          <w:sz w:val="22"/>
          <w:szCs w:val="22"/>
        </w:rPr>
        <w:t>le § 40 zákona č. 120/2001 Sb., o soudních exekutorech a exekuční činnosti (exekuční řád) a o změně dalších zákonů, ve znění pozdějších předpisů.</w:t>
      </w:r>
    </w:p>
    <w:p w:rsidR="00333532" w:rsidRPr="00333532" w:rsidRDefault="00E85F4C" w:rsidP="0033353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Čl. VI.</w:t>
      </w:r>
    </w:p>
    <w:p w:rsidR="00333532" w:rsidRPr="00333532" w:rsidRDefault="00E85F4C" w:rsidP="0033353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33532">
        <w:rPr>
          <w:rFonts w:ascii="Arial" w:hAnsi="Arial" w:cs="Arial"/>
          <w:sz w:val="22"/>
          <w:szCs w:val="22"/>
        </w:rPr>
        <w:t>Kupující je povinen bezodkladně písemně oznámit prodávajícímu veškeré skutečnosti, které mají nebo by mohly mít vliv na převod vlastnického práva k převáděnému majetku podle této smlouvy, zejména pak skutečnosti, které se dotýkají povinnosti zaplacení kupn</w:t>
      </w:r>
      <w:r w:rsidRPr="00333532">
        <w:rPr>
          <w:rFonts w:ascii="Arial" w:hAnsi="Arial" w:cs="Arial"/>
          <w:sz w:val="22"/>
          <w:szCs w:val="22"/>
        </w:rPr>
        <w:t>í ceny. Tato povinnost kupujícího trvá až do okamžiku zaplacení kupní ceny s příslušenstvím.</w:t>
      </w:r>
    </w:p>
    <w:p w:rsidR="00333532" w:rsidRPr="00333532" w:rsidRDefault="00E85F4C" w:rsidP="0033353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Čl. VII.</w:t>
      </w:r>
    </w:p>
    <w:p w:rsidR="00333532" w:rsidRPr="00333532" w:rsidRDefault="00E85F4C" w:rsidP="00333532">
      <w:pPr>
        <w:numPr>
          <w:ilvl w:val="0"/>
          <w:numId w:val="3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Kupující je oprávněn odstoupit od této kupní smlouvy pouze v souladu s ustanovením § 2001 a násl. zákona č. 89/2012 Sb.</w:t>
      </w:r>
    </w:p>
    <w:p w:rsidR="00333532" w:rsidRPr="00333532" w:rsidRDefault="00E85F4C" w:rsidP="00333532">
      <w:pPr>
        <w:numPr>
          <w:ilvl w:val="0"/>
          <w:numId w:val="3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Pokud kupující neuhradí kupní cenu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 řádně a včas, má prodávající právo v souladu s ustanovením § 1977 zákona č. 89/2012 Sb. od smlouvy odstoupit, pokud to kupujícímu (prodlévajícímu) oznámí bez zbytečného odkladu poté, co se o prodlení dozvěděl.</w:t>
      </w:r>
    </w:p>
    <w:p w:rsidR="00333532" w:rsidRPr="00333532" w:rsidRDefault="00E85F4C" w:rsidP="00333532">
      <w:pPr>
        <w:numPr>
          <w:ilvl w:val="0"/>
          <w:numId w:val="3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Prodávající je též oprávněn od této smlouvy o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dstoupit, jestliže se prokáže, že prohlášení kupujícího uvedená v Čl. V. nejsou pravdivá, úplná nebo přesná.</w:t>
      </w:r>
    </w:p>
    <w:p w:rsidR="00333532" w:rsidRPr="00333532" w:rsidRDefault="00E85F4C" w:rsidP="0033353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Čl. VIII.</w:t>
      </w:r>
    </w:p>
    <w:p w:rsidR="00333532" w:rsidRPr="00333532" w:rsidRDefault="00E85F4C" w:rsidP="00333532">
      <w:pPr>
        <w:numPr>
          <w:ilvl w:val="0"/>
          <w:numId w:val="4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V případě, že dojde k porušení závazků ze strany kupujícího ve smyslu Čl. VII. odst. 2 nebo 3 a prodávající od této smlouvy odstoupí, pro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padá kauce ve prospěch prodávajícího.</w:t>
      </w:r>
    </w:p>
    <w:p w:rsidR="00333532" w:rsidRPr="00333532" w:rsidRDefault="00E85F4C" w:rsidP="00333532">
      <w:pPr>
        <w:numPr>
          <w:ilvl w:val="0"/>
          <w:numId w:val="4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Odstoupení od této smlouvy kteroukoliv ze smluvních stran se nedotýká povinnosti kupujícího zaplatit peněžitá plnění (zejm. úroky z prodlení, smluvní pokuty), na jejichž úhradu dle této smlouvy vznikl prodávajícímu nár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ok do data účinnosti odstoupení.</w:t>
      </w:r>
    </w:p>
    <w:p w:rsidR="00333532" w:rsidRPr="00333532" w:rsidRDefault="00E85F4C" w:rsidP="00333532">
      <w:pPr>
        <w:numPr>
          <w:ilvl w:val="0"/>
          <w:numId w:val="4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Odstoupení od smlouvy musí být v písemné formě a nabývá účinnosti dnem doručení druhé straně. Odstoupením se závazky z této smlouvy ruší od počátku a smluvní strany si vrátí vše, co si splnily, kromě peněžitých plnění (např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. úroků z prodlení, smluvních pokut), na jejichž úhradu vznikl prodávajícímu nárok do data účinnosti odstoupení.</w:t>
      </w:r>
    </w:p>
    <w:p w:rsidR="00333532" w:rsidRPr="00333532" w:rsidRDefault="00E85F4C" w:rsidP="00333532">
      <w:pPr>
        <w:numPr>
          <w:ilvl w:val="0"/>
          <w:numId w:val="4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Pokud dojde k odstoupení od smlouvy a kupní cena již byla zaplacena, má prodávající povinnost do ... dnů od účinků odstoupení vrátit kupní cenu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 sníženou o:</w:t>
      </w:r>
    </w:p>
    <w:p w:rsidR="00333532" w:rsidRPr="00333532" w:rsidRDefault="00E85F4C" w:rsidP="00333532">
      <w:pPr>
        <w:numPr>
          <w:ilvl w:val="0"/>
          <w:numId w:val="1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kauci (pouze v případě odstoupení od smlouvy prodávajícím)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333532" w:rsidRPr="00333532" w:rsidRDefault="00E85F4C" w:rsidP="00333532">
      <w:pPr>
        <w:numPr>
          <w:ilvl w:val="0"/>
          <w:numId w:val="1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vyúčtované smluvní pokuty a úroky z prodlení</w:t>
      </w:r>
    </w:p>
    <w:p w:rsidR="00333532" w:rsidRPr="00333532" w:rsidRDefault="00E85F4C" w:rsidP="00333532">
      <w:pPr>
        <w:spacing w:after="24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lastRenderedPageBreak/>
        <w:t>na účet kupujícího.</w:t>
      </w:r>
    </w:p>
    <w:p w:rsidR="00333532" w:rsidRPr="00333532" w:rsidRDefault="00E85F4C" w:rsidP="00333532">
      <w:pPr>
        <w:numPr>
          <w:ilvl w:val="0"/>
          <w:numId w:val="4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Nebyla-li kupní cena dosud uhrazena a od kupní smlouvy odstoupil prodávající, má kupující povinnost vyúčtované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náklady, které vznikly v souvislosti s prodejem převáděného majetku, vyúčtované smluvní pokuty, úroky z prodlení, pokud vznikly podle této smlouvy, uhradit prodávajícímu ve lhůtě, která bude kupujícímu oznámena ve výzvě prodávajícího k zaplacení, přičemž t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ato lhůta nebude kratší než 30 dnů ode dne odeslání výzvy k úhradě.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br/>
        <w:t xml:space="preserve">Kauce propadá ve prospěch prodávajícího podle Čl. VIII. odst. 1.  </w:t>
      </w:r>
    </w:p>
    <w:p w:rsidR="00333532" w:rsidRPr="00333532" w:rsidRDefault="00E85F4C" w:rsidP="0033353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Čl. IX.</w:t>
      </w:r>
    </w:p>
    <w:p w:rsidR="00333532" w:rsidRPr="00333532" w:rsidRDefault="00E85F4C" w:rsidP="00333532">
      <w:pPr>
        <w:numPr>
          <w:ilvl w:val="0"/>
          <w:numId w:val="5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Vlastnické právo k převáděnému majetku nabývá kupující zápisem do katastru nemovitostí. Právní účinky zápisu nast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anou k okamžiku podání návrhu na vklad katastrálnímu úřadu. Tímto dnem na kupujícího přecházejí veškerá práva a povinnosti spojené s vlastnictvím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br/>
        <w:t>a užíváním převáděného majetku.</w:t>
      </w:r>
    </w:p>
    <w:p w:rsidR="00333532" w:rsidRPr="00333532" w:rsidRDefault="00E85F4C" w:rsidP="00333532">
      <w:pPr>
        <w:numPr>
          <w:ilvl w:val="0"/>
          <w:numId w:val="5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Návrh na zápis vkladu vlastnického práva do katastru nemovitostí podají prodá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vající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br/>
        <w:t xml:space="preserve">a kupující společně prostřednictvím prodávajícího, a to bez zbytečného odkladu po úplném zaplacení kupní ceny včetně příslušenství a příp. smluvních pokut. Doklad o zaplacení,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br/>
        <w:t xml:space="preserve">resp. prohlášení prodávajícího o tom, že uvedená částka byla uhrazena,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bude obsažen v návrhu na zápis vkladu vlastnického práva do katastru nemovitostí. Správní poplatky spojené s touto smlouvou nese kupující.</w:t>
      </w:r>
    </w:p>
    <w:p w:rsidR="00333532" w:rsidRPr="00333532" w:rsidRDefault="00E85F4C" w:rsidP="00333532">
      <w:pPr>
        <w:numPr>
          <w:ilvl w:val="0"/>
          <w:numId w:val="5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Pokud by příslušným katastrálním úřadem byl návrh na zápis vkladu vlastnického práva k prodávanému převáděnému majetk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u dle této smlouvy pro kupujícího pravomocně zamítnut, účastníci této smlouvy se zavazují k součinnosti směřující k naplnění vůle obou smluvních stran.</w:t>
      </w:r>
    </w:p>
    <w:p w:rsidR="00333532" w:rsidRPr="00333532" w:rsidRDefault="00E85F4C" w:rsidP="00333532">
      <w:pPr>
        <w:numPr>
          <w:ilvl w:val="0"/>
          <w:numId w:val="5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Pro případ, že vklad vlastnického práva k prodávanému převáděnému majetku podle této smlouvy pro kupujíc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ího nebude příslušným katastrálním úřadem ani po součinnosti stran podle odstavce 3 povolen, smluvní strany si sjednávají rozvazovací podmínku tak, že se tato kupní smlouva ruší od počátku. Prodávající se zavazuje písemně oznámit kupujícímu naplnění této r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ozvazovací podmínky této kupní smlouvy bezodkladně po jejím vzniku. Kupní cena bude kupujícímu vrácena do 30 dnů od naplnění této rozvazovací podmínky.</w:t>
      </w:r>
    </w:p>
    <w:p w:rsidR="00333532" w:rsidRPr="00333532" w:rsidRDefault="00E85F4C" w:rsidP="0033353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33532">
        <w:rPr>
          <w:rFonts w:ascii="Arial" w:hAnsi="Arial" w:cs="Arial"/>
          <w:b/>
          <w:sz w:val="22"/>
          <w:szCs w:val="22"/>
        </w:rPr>
        <w:t>Čl. X.</w:t>
      </w:r>
    </w:p>
    <w:p w:rsidR="00333532" w:rsidRPr="00333532" w:rsidRDefault="00E85F4C" w:rsidP="00333532">
      <w:pPr>
        <w:numPr>
          <w:ilvl w:val="0"/>
          <w:numId w:val="8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Smlouva je platně uzavřena dnem schválení příslušným ministerstvem podle ustanovení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br/>
        <w:t xml:space="preserve">§ 22 zákona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č. 219/2000 Sb. a nabývá účinnosti dnem uveřejnění v registru smluv v souladu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br/>
        <w:t>se zákonem č. 340/2015 Sb., o zvláštních podmínkách účinnosti některých smluv, uveřejňování těchto smluv a o registru smluv (zákon o registru smluv), ve znění pozdějších předpis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ů.</w:t>
      </w:r>
    </w:p>
    <w:p w:rsidR="00333532" w:rsidRPr="00333532" w:rsidRDefault="00E85F4C" w:rsidP="00333532">
      <w:pPr>
        <w:numPr>
          <w:ilvl w:val="0"/>
          <w:numId w:val="8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Prodávající zašle tuto smlouvu správci registru smluv k uveřejnění bez zbytečného odkladu, nejpozději však do 30 dnů od uzavření smlouvy. Nemá-li kupující zřízenu datovou schránku, prodávající  kupujícímu předá doklad o uveřejnění smlouvy v registru sml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uv podle § 5 odst. 4 zákona o registru smluv jako potvrzení skutečnosti, že smlouva nabyla účinnosti. Pro účely uveřejnění v registru smluv smluvní strany navzájem prohlašují, že smlouva neobsahuje žádné obchodní tajemství.</w:t>
      </w:r>
    </w:p>
    <w:p w:rsidR="00333532" w:rsidRPr="00333532" w:rsidRDefault="00E85F4C" w:rsidP="00333532">
      <w:pPr>
        <w:numPr>
          <w:ilvl w:val="0"/>
          <w:numId w:val="8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Smluvní strany berou na vědomí,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že jsou svými projevy vázány od okamžiku podpisu této smlouvy.</w:t>
      </w:r>
    </w:p>
    <w:p w:rsidR="00333532" w:rsidRPr="00333532" w:rsidRDefault="00E85F4C" w:rsidP="00333532">
      <w:pPr>
        <w:numPr>
          <w:ilvl w:val="0"/>
          <w:numId w:val="8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není-li v této smlouvě stanoveno jinak, řídí se práva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br/>
        <w:t>a povinnosti smluvních stran zákonem č. 89/2012 Sb. a zákonem č. 219/2000 Sb.</w:t>
      </w:r>
    </w:p>
    <w:p w:rsidR="00333532" w:rsidRPr="00333532" w:rsidRDefault="00E85F4C" w:rsidP="00333532">
      <w:pPr>
        <w:numPr>
          <w:ilvl w:val="0"/>
          <w:numId w:val="8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Smluvní strany se dohodly, že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jakékoli změny a doplňky této smlouvy jsou možné pouze písemnou formou, v podobě oboustranně uzavřených, vzestupně číslovaných dodatků smlouvy.</w:t>
      </w:r>
    </w:p>
    <w:p w:rsidR="00333532" w:rsidRPr="00BE6CD7" w:rsidRDefault="00E85F4C" w:rsidP="00BE6CD7">
      <w:pPr>
        <w:numPr>
          <w:ilvl w:val="0"/>
          <w:numId w:val="8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Tato smlouva je vyhotovena ve ……… stejnopisech. Každá ze smluvních stran obdrží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br/>
        <w:t xml:space="preserve">po jednom vyhotovení, jedno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vyhotovení bude určeno pro příslušné ministerstvo a jedno vyhotovení bude použito k zápisu vlastnického práva vkladem do katastru nemovitostí.</w:t>
      </w:r>
    </w:p>
    <w:p w:rsidR="00333532" w:rsidRPr="00333532" w:rsidRDefault="00E85F4C" w:rsidP="00333532">
      <w:pPr>
        <w:spacing w:after="240" w:line="276" w:lineRule="auto"/>
        <w:ind w:left="360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333532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Varianta odst.  </w:t>
      </w:r>
      <w:r w:rsidR="00FA12D7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7</w:t>
      </w:r>
      <w:r w:rsidRPr="00333532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 a </w:t>
      </w:r>
      <w:r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8</w:t>
      </w:r>
      <w:r w:rsidRPr="00333532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 - pouze u smluv s územními samosprávnými celky:</w:t>
      </w:r>
    </w:p>
    <w:p w:rsidR="00333532" w:rsidRPr="00333532" w:rsidRDefault="00E85F4C" w:rsidP="00333532">
      <w:pPr>
        <w:numPr>
          <w:ilvl w:val="0"/>
          <w:numId w:val="8"/>
        </w:num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3532">
        <w:rPr>
          <w:rFonts w:ascii="Arial" w:eastAsiaTheme="minorHAnsi" w:hAnsi="Arial" w:cs="Arial"/>
          <w:sz w:val="22"/>
          <w:szCs w:val="22"/>
          <w:lang w:eastAsia="en-US"/>
        </w:rPr>
        <w:t>Nedílnou součástí této smlouvy je:</w:t>
      </w:r>
    </w:p>
    <w:p w:rsidR="00333532" w:rsidRPr="00333532" w:rsidRDefault="00E85F4C" w:rsidP="00333532">
      <w:pPr>
        <w:numPr>
          <w:ilvl w:val="0"/>
          <w:numId w:val="10"/>
        </w:num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3532">
        <w:rPr>
          <w:rFonts w:ascii="Arial" w:eastAsiaTheme="minorHAnsi" w:hAnsi="Arial" w:cs="Arial"/>
          <w:sz w:val="22"/>
          <w:szCs w:val="22"/>
          <w:lang w:eastAsia="en-US"/>
        </w:rPr>
        <w:t xml:space="preserve">doložka </w:t>
      </w:r>
      <w:r w:rsidRPr="00333532">
        <w:rPr>
          <w:rFonts w:ascii="Arial" w:eastAsiaTheme="minorHAnsi" w:hAnsi="Arial" w:cs="Arial"/>
          <w:sz w:val="22"/>
          <w:szCs w:val="22"/>
          <w:lang w:eastAsia="en-US"/>
        </w:rPr>
        <w:t xml:space="preserve">dle zákona č. ... </w:t>
      </w:r>
    </w:p>
    <w:p w:rsidR="00333532" w:rsidRPr="00333532" w:rsidRDefault="00E85F4C" w:rsidP="00333532">
      <w:pPr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Smluvní strany výslovně souhlasí s tím, aby tato smlouva ve svém úplném znění byla zveřejněna v rámci informací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 xml:space="preserve">zpřístupňovaných veřejnosti prostřednictvím dálkového přístupu. Smluvní strany prohlašují, že skutečnosti uvedené v této smlouvě nepovažují 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br/>
        <w:t>za obchodní tajemství ve smyslu ustanovení § 504 zákona č. 89/2012 Sb. a udělují svolení k jejich užití a zveřejněn</w:t>
      </w:r>
      <w:r w:rsidRPr="00333532">
        <w:rPr>
          <w:rFonts w:ascii="Arial" w:eastAsia="Calibri" w:hAnsi="Arial" w:cs="Arial"/>
          <w:sz w:val="22"/>
          <w:szCs w:val="22"/>
          <w:lang w:eastAsia="en-US"/>
        </w:rPr>
        <w:t>í bez stanovení jakýchkoli dalších podmínek.</w:t>
      </w:r>
    </w:p>
    <w:p w:rsidR="00333532" w:rsidRPr="00333532" w:rsidRDefault="00333532" w:rsidP="00333532">
      <w:pPr>
        <w:jc w:val="both"/>
        <w:rPr>
          <w:rFonts w:ascii="Arial" w:hAnsi="Arial" w:cs="Arial"/>
        </w:rPr>
      </w:pPr>
    </w:p>
    <w:p w:rsidR="00333532" w:rsidRPr="00333532" w:rsidRDefault="00E85F4C" w:rsidP="00333532">
      <w:pPr>
        <w:numPr>
          <w:ilvl w:val="0"/>
          <w:numId w:val="8"/>
        </w:numPr>
        <w:spacing w:after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532">
        <w:rPr>
          <w:rFonts w:ascii="Arial" w:eastAsia="Calibri" w:hAnsi="Arial" w:cs="Arial"/>
          <w:sz w:val="22"/>
          <w:szCs w:val="22"/>
          <w:lang w:eastAsia="en-US"/>
        </w:rPr>
        <w:t>Smluvní strany prohlašují, že tuto smlouvu uzavřely svobodně a vážně, nikoliv z přinucení nebo omylu. Na důkaz toho připojují své vlastnoruční podpisy.</w:t>
      </w:r>
    </w:p>
    <w:p w:rsidR="00333532" w:rsidRPr="00333532" w:rsidRDefault="00333532" w:rsidP="00333532">
      <w:pPr>
        <w:spacing w:after="24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836"/>
      </w:tblGrid>
      <w:tr w:rsidR="00F31B92" w:rsidTr="008E3836">
        <w:tc>
          <w:tcPr>
            <w:tcW w:w="4896" w:type="dxa"/>
            <w:hideMark/>
          </w:tcPr>
          <w:p w:rsidR="00333532" w:rsidRPr="00333532" w:rsidRDefault="00E85F4C" w:rsidP="003335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532">
              <w:rPr>
                <w:rFonts w:ascii="Arial" w:hAnsi="Arial" w:cs="Arial"/>
                <w:sz w:val="22"/>
                <w:szCs w:val="22"/>
              </w:rPr>
              <w:t>V Teplicích dne ………………</w:t>
            </w:r>
          </w:p>
        </w:tc>
        <w:tc>
          <w:tcPr>
            <w:tcW w:w="4855" w:type="dxa"/>
            <w:hideMark/>
          </w:tcPr>
          <w:p w:rsidR="00333532" w:rsidRPr="00333532" w:rsidRDefault="00E85F4C" w:rsidP="003335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532">
              <w:rPr>
                <w:rFonts w:ascii="Arial" w:hAnsi="Arial" w:cs="Arial"/>
                <w:sz w:val="22"/>
                <w:szCs w:val="22"/>
              </w:rPr>
              <w:t xml:space="preserve">V …………….………….... dne </w:t>
            </w:r>
            <w:r w:rsidRPr="00333532"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</w:tc>
      </w:tr>
      <w:tr w:rsidR="00F31B92" w:rsidTr="008E3836">
        <w:trPr>
          <w:trHeight w:val="80"/>
        </w:trPr>
        <w:tc>
          <w:tcPr>
            <w:tcW w:w="4896" w:type="dxa"/>
            <w:hideMark/>
          </w:tcPr>
          <w:p w:rsidR="00333532" w:rsidRPr="00333532" w:rsidRDefault="00E85F4C" w:rsidP="003335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5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55" w:type="dxa"/>
            <w:hideMark/>
          </w:tcPr>
          <w:p w:rsidR="00333532" w:rsidRPr="00333532" w:rsidRDefault="00333532" w:rsidP="003335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B92" w:rsidTr="008E3836">
        <w:trPr>
          <w:trHeight w:val="80"/>
        </w:trPr>
        <w:tc>
          <w:tcPr>
            <w:tcW w:w="4896" w:type="dxa"/>
          </w:tcPr>
          <w:p w:rsidR="00333532" w:rsidRPr="00333532" w:rsidRDefault="00E85F4C" w:rsidP="003335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3532">
              <w:rPr>
                <w:rFonts w:ascii="Arial" w:hAnsi="Arial" w:cs="Arial"/>
                <w:b/>
                <w:sz w:val="22"/>
                <w:szCs w:val="22"/>
              </w:rPr>
              <w:t>Česká republika – Úřad pro zastupování státu ve věcech majetkových</w:t>
            </w:r>
          </w:p>
          <w:p w:rsidR="00333532" w:rsidRPr="00333532" w:rsidRDefault="00333532" w:rsidP="003335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3532" w:rsidRPr="00333532" w:rsidRDefault="00333532" w:rsidP="003335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3532" w:rsidRPr="00333532" w:rsidRDefault="00333532" w:rsidP="003335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55" w:type="dxa"/>
          </w:tcPr>
          <w:p w:rsidR="00333532" w:rsidRPr="00333532" w:rsidRDefault="00333532" w:rsidP="003335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B92" w:rsidTr="008E3836">
        <w:trPr>
          <w:trHeight w:val="1546"/>
        </w:trPr>
        <w:tc>
          <w:tcPr>
            <w:tcW w:w="4896" w:type="dxa"/>
          </w:tcPr>
          <w:p w:rsidR="00333532" w:rsidRPr="00333532" w:rsidRDefault="00E85F4C" w:rsidP="003335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35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33532" w:rsidRPr="00333532" w:rsidRDefault="00333532" w:rsidP="003335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3532" w:rsidRPr="00333532" w:rsidRDefault="00333532" w:rsidP="003335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55" w:type="dxa"/>
          </w:tcPr>
          <w:p w:rsidR="00333532" w:rsidRPr="00333532" w:rsidRDefault="00333532" w:rsidP="003335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B92" w:rsidTr="008E3836">
        <w:trPr>
          <w:trHeight w:val="35"/>
        </w:trPr>
        <w:tc>
          <w:tcPr>
            <w:tcW w:w="4896" w:type="dxa"/>
            <w:hideMark/>
          </w:tcPr>
          <w:p w:rsidR="00333532" w:rsidRPr="00333532" w:rsidRDefault="00E85F4C" w:rsidP="003335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32"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4855" w:type="dxa"/>
            <w:hideMark/>
          </w:tcPr>
          <w:p w:rsidR="00333532" w:rsidRPr="00333532" w:rsidRDefault="00E85F4C" w:rsidP="003335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32"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</w:p>
        </w:tc>
      </w:tr>
      <w:tr w:rsidR="00F31B92" w:rsidTr="008E3836">
        <w:trPr>
          <w:trHeight w:val="80"/>
        </w:trPr>
        <w:tc>
          <w:tcPr>
            <w:tcW w:w="4896" w:type="dxa"/>
            <w:hideMark/>
          </w:tcPr>
          <w:p w:rsidR="00333532" w:rsidRPr="00333532" w:rsidRDefault="00E85F4C" w:rsidP="00333532">
            <w:pPr>
              <w:tabs>
                <w:tab w:val="left" w:pos="709"/>
              </w:tabs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3532">
              <w:rPr>
                <w:rFonts w:ascii="Arial" w:hAnsi="Arial" w:cs="Arial"/>
                <w:b/>
                <w:sz w:val="22"/>
                <w:szCs w:val="22"/>
              </w:rPr>
              <w:t>Ing. Ivana Kozáková</w:t>
            </w:r>
          </w:p>
          <w:p w:rsidR="00333532" w:rsidRPr="00333532" w:rsidRDefault="00E85F4C" w:rsidP="0033353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532">
              <w:rPr>
                <w:rFonts w:ascii="Arial" w:hAnsi="Arial" w:cs="Arial"/>
                <w:sz w:val="22"/>
                <w:szCs w:val="22"/>
              </w:rPr>
              <w:t xml:space="preserve">ředitelka odboru </w:t>
            </w:r>
            <w:r w:rsidRPr="00333532">
              <w:rPr>
                <w:rFonts w:ascii="Arial" w:hAnsi="Arial" w:cs="Arial"/>
                <w:sz w:val="22"/>
                <w:szCs w:val="22"/>
              </w:rPr>
              <w:t>Odloučené pracoviště</w:t>
            </w:r>
          </w:p>
          <w:p w:rsidR="00333532" w:rsidRPr="00333532" w:rsidRDefault="00E85F4C" w:rsidP="003335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3532">
              <w:rPr>
                <w:rFonts w:ascii="Arial" w:hAnsi="Arial" w:cs="Arial"/>
                <w:sz w:val="22"/>
                <w:szCs w:val="22"/>
              </w:rPr>
              <w:t xml:space="preserve"> Teplice</w:t>
            </w:r>
          </w:p>
        </w:tc>
        <w:tc>
          <w:tcPr>
            <w:tcW w:w="4855" w:type="dxa"/>
          </w:tcPr>
          <w:p w:rsidR="00333532" w:rsidRPr="00333532" w:rsidRDefault="00E85F4C" w:rsidP="00333532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333532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 opravňující k jednání nebo jednající na základě plné moci</w:t>
            </w:r>
          </w:p>
        </w:tc>
      </w:tr>
    </w:tbl>
    <w:p w:rsidR="00333532" w:rsidRPr="00333532" w:rsidRDefault="00333532" w:rsidP="00333532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333532" w:rsidRPr="00333532" w:rsidRDefault="00333532" w:rsidP="00333532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BE6CD7">
      <w:pgSz w:w="11906" w:h="16838"/>
      <w:pgMar w:top="1134" w:right="1134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8B9"/>
    <w:multiLevelType w:val="hybridMultilevel"/>
    <w:tmpl w:val="3B64DEA6"/>
    <w:lvl w:ilvl="0" w:tplc="DE8C3574">
      <w:start w:val="1"/>
      <w:numFmt w:val="decimal"/>
      <w:lvlText w:val="%1."/>
      <w:lvlJc w:val="left"/>
      <w:pPr>
        <w:ind w:left="360" w:hanging="360"/>
      </w:pPr>
    </w:lvl>
    <w:lvl w:ilvl="1" w:tplc="1108C1BC">
      <w:start w:val="1"/>
      <w:numFmt w:val="lowerLetter"/>
      <w:lvlText w:val="%2."/>
      <w:lvlJc w:val="left"/>
      <w:pPr>
        <w:ind w:left="1080" w:hanging="360"/>
      </w:pPr>
    </w:lvl>
    <w:lvl w:ilvl="2" w:tplc="E2DCC31E">
      <w:start w:val="1"/>
      <w:numFmt w:val="lowerRoman"/>
      <w:lvlText w:val="%3."/>
      <w:lvlJc w:val="right"/>
      <w:pPr>
        <w:ind w:left="1800" w:hanging="180"/>
      </w:pPr>
    </w:lvl>
    <w:lvl w:ilvl="3" w:tplc="D4AC7916">
      <w:start w:val="1"/>
      <w:numFmt w:val="decimal"/>
      <w:lvlText w:val="%4."/>
      <w:lvlJc w:val="left"/>
      <w:pPr>
        <w:ind w:left="2520" w:hanging="360"/>
      </w:pPr>
    </w:lvl>
    <w:lvl w:ilvl="4" w:tplc="D2AA40E8">
      <w:start w:val="1"/>
      <w:numFmt w:val="lowerLetter"/>
      <w:lvlText w:val="%5."/>
      <w:lvlJc w:val="left"/>
      <w:pPr>
        <w:ind w:left="3240" w:hanging="360"/>
      </w:pPr>
    </w:lvl>
    <w:lvl w:ilvl="5" w:tplc="7D64D730">
      <w:start w:val="1"/>
      <w:numFmt w:val="lowerRoman"/>
      <w:lvlText w:val="%6."/>
      <w:lvlJc w:val="right"/>
      <w:pPr>
        <w:ind w:left="3960" w:hanging="180"/>
      </w:pPr>
    </w:lvl>
    <w:lvl w:ilvl="6" w:tplc="EE7241CC">
      <w:start w:val="1"/>
      <w:numFmt w:val="decimal"/>
      <w:lvlText w:val="%7."/>
      <w:lvlJc w:val="left"/>
      <w:pPr>
        <w:ind w:left="4680" w:hanging="360"/>
      </w:pPr>
    </w:lvl>
    <w:lvl w:ilvl="7" w:tplc="B43AAA7C">
      <w:start w:val="1"/>
      <w:numFmt w:val="lowerLetter"/>
      <w:lvlText w:val="%8."/>
      <w:lvlJc w:val="left"/>
      <w:pPr>
        <w:ind w:left="5400" w:hanging="360"/>
      </w:pPr>
    </w:lvl>
    <w:lvl w:ilvl="8" w:tplc="0062F91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47E29"/>
    <w:multiLevelType w:val="hybridMultilevel"/>
    <w:tmpl w:val="984411E2"/>
    <w:lvl w:ilvl="0" w:tplc="AD0AE558">
      <w:start w:val="1"/>
      <w:numFmt w:val="decimal"/>
      <w:lvlText w:val="%1."/>
      <w:lvlJc w:val="left"/>
      <w:pPr>
        <w:ind w:left="360" w:hanging="360"/>
      </w:pPr>
    </w:lvl>
    <w:lvl w:ilvl="1" w:tplc="E75AE494">
      <w:start w:val="1"/>
      <w:numFmt w:val="lowerLetter"/>
      <w:lvlText w:val="%2."/>
      <w:lvlJc w:val="left"/>
      <w:pPr>
        <w:ind w:left="1080" w:hanging="360"/>
      </w:pPr>
    </w:lvl>
    <w:lvl w:ilvl="2" w:tplc="C35AD344">
      <w:start w:val="1"/>
      <w:numFmt w:val="lowerRoman"/>
      <w:lvlText w:val="%3."/>
      <w:lvlJc w:val="right"/>
      <w:pPr>
        <w:ind w:left="1800" w:hanging="180"/>
      </w:pPr>
    </w:lvl>
    <w:lvl w:ilvl="3" w:tplc="83F2465A">
      <w:start w:val="1"/>
      <w:numFmt w:val="decimal"/>
      <w:lvlText w:val="%4."/>
      <w:lvlJc w:val="left"/>
      <w:pPr>
        <w:ind w:left="2520" w:hanging="360"/>
      </w:pPr>
    </w:lvl>
    <w:lvl w:ilvl="4" w:tplc="49FA83BA">
      <w:start w:val="1"/>
      <w:numFmt w:val="lowerLetter"/>
      <w:lvlText w:val="%5."/>
      <w:lvlJc w:val="left"/>
      <w:pPr>
        <w:ind w:left="3240" w:hanging="360"/>
      </w:pPr>
    </w:lvl>
    <w:lvl w:ilvl="5" w:tplc="1A162DFA">
      <w:start w:val="1"/>
      <w:numFmt w:val="lowerRoman"/>
      <w:lvlText w:val="%6."/>
      <w:lvlJc w:val="right"/>
      <w:pPr>
        <w:ind w:left="3960" w:hanging="180"/>
      </w:pPr>
    </w:lvl>
    <w:lvl w:ilvl="6" w:tplc="48C4E094">
      <w:start w:val="1"/>
      <w:numFmt w:val="decimal"/>
      <w:lvlText w:val="%7."/>
      <w:lvlJc w:val="left"/>
      <w:pPr>
        <w:ind w:left="4680" w:hanging="360"/>
      </w:pPr>
    </w:lvl>
    <w:lvl w:ilvl="7" w:tplc="16983F0E">
      <w:start w:val="1"/>
      <w:numFmt w:val="lowerLetter"/>
      <w:lvlText w:val="%8."/>
      <w:lvlJc w:val="left"/>
      <w:pPr>
        <w:ind w:left="5400" w:hanging="360"/>
      </w:pPr>
    </w:lvl>
    <w:lvl w:ilvl="8" w:tplc="8A6E0D7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E6288"/>
    <w:multiLevelType w:val="hybridMultilevel"/>
    <w:tmpl w:val="9998DC44"/>
    <w:lvl w:ilvl="0" w:tplc="7C2891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CA2B69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740EB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E6C7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E818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5262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C2C1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82CAD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12B8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908C4"/>
    <w:multiLevelType w:val="hybridMultilevel"/>
    <w:tmpl w:val="F07C473C"/>
    <w:lvl w:ilvl="0" w:tplc="2C9A72D6">
      <w:start w:val="1"/>
      <w:numFmt w:val="decimal"/>
      <w:lvlText w:val="%1."/>
      <w:lvlJc w:val="left"/>
      <w:pPr>
        <w:ind w:left="360" w:hanging="360"/>
      </w:pPr>
    </w:lvl>
    <w:lvl w:ilvl="1" w:tplc="E240356E" w:tentative="1">
      <w:start w:val="1"/>
      <w:numFmt w:val="lowerLetter"/>
      <w:lvlText w:val="%2."/>
      <w:lvlJc w:val="left"/>
      <w:pPr>
        <w:ind w:left="1080" w:hanging="360"/>
      </w:pPr>
    </w:lvl>
    <w:lvl w:ilvl="2" w:tplc="0D1A124A" w:tentative="1">
      <w:start w:val="1"/>
      <w:numFmt w:val="lowerRoman"/>
      <w:lvlText w:val="%3."/>
      <w:lvlJc w:val="right"/>
      <w:pPr>
        <w:ind w:left="1800" w:hanging="180"/>
      </w:pPr>
    </w:lvl>
    <w:lvl w:ilvl="3" w:tplc="224880D8" w:tentative="1">
      <w:start w:val="1"/>
      <w:numFmt w:val="decimal"/>
      <w:lvlText w:val="%4."/>
      <w:lvlJc w:val="left"/>
      <w:pPr>
        <w:ind w:left="2520" w:hanging="360"/>
      </w:pPr>
    </w:lvl>
    <w:lvl w:ilvl="4" w:tplc="55ECDA9E" w:tentative="1">
      <w:start w:val="1"/>
      <w:numFmt w:val="lowerLetter"/>
      <w:lvlText w:val="%5."/>
      <w:lvlJc w:val="left"/>
      <w:pPr>
        <w:ind w:left="3240" w:hanging="360"/>
      </w:pPr>
    </w:lvl>
    <w:lvl w:ilvl="5" w:tplc="7EC822FA" w:tentative="1">
      <w:start w:val="1"/>
      <w:numFmt w:val="lowerRoman"/>
      <w:lvlText w:val="%6."/>
      <w:lvlJc w:val="right"/>
      <w:pPr>
        <w:ind w:left="3960" w:hanging="180"/>
      </w:pPr>
    </w:lvl>
    <w:lvl w:ilvl="6" w:tplc="451A510C" w:tentative="1">
      <w:start w:val="1"/>
      <w:numFmt w:val="decimal"/>
      <w:lvlText w:val="%7."/>
      <w:lvlJc w:val="left"/>
      <w:pPr>
        <w:ind w:left="4680" w:hanging="360"/>
      </w:pPr>
    </w:lvl>
    <w:lvl w:ilvl="7" w:tplc="9384AE0E" w:tentative="1">
      <w:start w:val="1"/>
      <w:numFmt w:val="lowerLetter"/>
      <w:lvlText w:val="%8."/>
      <w:lvlJc w:val="left"/>
      <w:pPr>
        <w:ind w:left="5400" w:hanging="360"/>
      </w:pPr>
    </w:lvl>
    <w:lvl w:ilvl="8" w:tplc="DBA875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17AAE"/>
    <w:multiLevelType w:val="hybridMultilevel"/>
    <w:tmpl w:val="953A5EF4"/>
    <w:lvl w:ilvl="0" w:tplc="E58244B2">
      <w:start w:val="1"/>
      <w:numFmt w:val="decimal"/>
      <w:lvlText w:val="%1."/>
      <w:lvlJc w:val="left"/>
      <w:pPr>
        <w:ind w:left="360" w:hanging="360"/>
      </w:pPr>
    </w:lvl>
    <w:lvl w:ilvl="1" w:tplc="EEFCBC12" w:tentative="1">
      <w:start w:val="1"/>
      <w:numFmt w:val="lowerLetter"/>
      <w:lvlText w:val="%2."/>
      <w:lvlJc w:val="left"/>
      <w:pPr>
        <w:ind w:left="1080" w:hanging="360"/>
      </w:pPr>
    </w:lvl>
    <w:lvl w:ilvl="2" w:tplc="A438A4C0" w:tentative="1">
      <w:start w:val="1"/>
      <w:numFmt w:val="lowerRoman"/>
      <w:lvlText w:val="%3."/>
      <w:lvlJc w:val="right"/>
      <w:pPr>
        <w:ind w:left="1800" w:hanging="180"/>
      </w:pPr>
    </w:lvl>
    <w:lvl w:ilvl="3" w:tplc="F288E300" w:tentative="1">
      <w:start w:val="1"/>
      <w:numFmt w:val="decimal"/>
      <w:lvlText w:val="%4."/>
      <w:lvlJc w:val="left"/>
      <w:pPr>
        <w:ind w:left="2520" w:hanging="360"/>
      </w:pPr>
    </w:lvl>
    <w:lvl w:ilvl="4" w:tplc="033EB2D0" w:tentative="1">
      <w:start w:val="1"/>
      <w:numFmt w:val="lowerLetter"/>
      <w:lvlText w:val="%5."/>
      <w:lvlJc w:val="left"/>
      <w:pPr>
        <w:ind w:left="3240" w:hanging="360"/>
      </w:pPr>
    </w:lvl>
    <w:lvl w:ilvl="5" w:tplc="8C52BC28" w:tentative="1">
      <w:start w:val="1"/>
      <w:numFmt w:val="lowerRoman"/>
      <w:lvlText w:val="%6."/>
      <w:lvlJc w:val="right"/>
      <w:pPr>
        <w:ind w:left="3960" w:hanging="180"/>
      </w:pPr>
    </w:lvl>
    <w:lvl w:ilvl="6" w:tplc="EE0A7D3C" w:tentative="1">
      <w:start w:val="1"/>
      <w:numFmt w:val="decimal"/>
      <w:lvlText w:val="%7."/>
      <w:lvlJc w:val="left"/>
      <w:pPr>
        <w:ind w:left="4680" w:hanging="360"/>
      </w:pPr>
    </w:lvl>
    <w:lvl w:ilvl="7" w:tplc="D1E84460" w:tentative="1">
      <w:start w:val="1"/>
      <w:numFmt w:val="lowerLetter"/>
      <w:lvlText w:val="%8."/>
      <w:lvlJc w:val="left"/>
      <w:pPr>
        <w:ind w:left="5400" w:hanging="360"/>
      </w:pPr>
    </w:lvl>
    <w:lvl w:ilvl="8" w:tplc="A4A270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F324A"/>
    <w:multiLevelType w:val="hybridMultilevel"/>
    <w:tmpl w:val="0A1044DC"/>
    <w:lvl w:ilvl="0" w:tplc="FCC23F58">
      <w:start w:val="1"/>
      <w:numFmt w:val="decimal"/>
      <w:lvlText w:val="%1."/>
      <w:lvlJc w:val="left"/>
      <w:pPr>
        <w:ind w:left="360" w:hanging="360"/>
      </w:pPr>
    </w:lvl>
    <w:lvl w:ilvl="1" w:tplc="85E2B538">
      <w:start w:val="1"/>
      <w:numFmt w:val="lowerLetter"/>
      <w:lvlText w:val="%2."/>
      <w:lvlJc w:val="left"/>
      <w:pPr>
        <w:ind w:left="1080" w:hanging="360"/>
      </w:pPr>
    </w:lvl>
    <w:lvl w:ilvl="2" w:tplc="C804BCB4">
      <w:start w:val="1"/>
      <w:numFmt w:val="lowerRoman"/>
      <w:lvlText w:val="%3."/>
      <w:lvlJc w:val="right"/>
      <w:pPr>
        <w:ind w:left="1800" w:hanging="180"/>
      </w:pPr>
    </w:lvl>
    <w:lvl w:ilvl="3" w:tplc="E6EA4B00">
      <w:start w:val="1"/>
      <w:numFmt w:val="decimal"/>
      <w:lvlText w:val="%4."/>
      <w:lvlJc w:val="left"/>
      <w:pPr>
        <w:ind w:left="2520" w:hanging="360"/>
      </w:pPr>
    </w:lvl>
    <w:lvl w:ilvl="4" w:tplc="B0924AB4">
      <w:start w:val="1"/>
      <w:numFmt w:val="lowerLetter"/>
      <w:lvlText w:val="%5."/>
      <w:lvlJc w:val="left"/>
      <w:pPr>
        <w:ind w:left="3240" w:hanging="360"/>
      </w:pPr>
    </w:lvl>
    <w:lvl w:ilvl="5" w:tplc="5024CB7A">
      <w:start w:val="1"/>
      <w:numFmt w:val="lowerRoman"/>
      <w:lvlText w:val="%6."/>
      <w:lvlJc w:val="right"/>
      <w:pPr>
        <w:ind w:left="3960" w:hanging="180"/>
      </w:pPr>
    </w:lvl>
    <w:lvl w:ilvl="6" w:tplc="80EA238C">
      <w:start w:val="1"/>
      <w:numFmt w:val="decimal"/>
      <w:lvlText w:val="%7."/>
      <w:lvlJc w:val="left"/>
      <w:pPr>
        <w:ind w:left="4680" w:hanging="360"/>
      </w:pPr>
    </w:lvl>
    <w:lvl w:ilvl="7" w:tplc="F438B066">
      <w:start w:val="1"/>
      <w:numFmt w:val="lowerLetter"/>
      <w:lvlText w:val="%8."/>
      <w:lvlJc w:val="left"/>
      <w:pPr>
        <w:ind w:left="5400" w:hanging="360"/>
      </w:pPr>
    </w:lvl>
    <w:lvl w:ilvl="8" w:tplc="CC30D25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4A4841"/>
    <w:multiLevelType w:val="hybridMultilevel"/>
    <w:tmpl w:val="6EDAF97A"/>
    <w:lvl w:ilvl="0" w:tplc="7B82BC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93470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7365A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B638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D057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EB490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A2BB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E647F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0C67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B6451"/>
    <w:multiLevelType w:val="hybridMultilevel"/>
    <w:tmpl w:val="F20C6C24"/>
    <w:lvl w:ilvl="0" w:tplc="95C40238">
      <w:start w:val="1"/>
      <w:numFmt w:val="decimal"/>
      <w:lvlText w:val="%1."/>
      <w:lvlJc w:val="left"/>
      <w:pPr>
        <w:ind w:left="360" w:hanging="360"/>
      </w:pPr>
    </w:lvl>
    <w:lvl w:ilvl="1" w:tplc="8594E5A8" w:tentative="1">
      <w:start w:val="1"/>
      <w:numFmt w:val="lowerLetter"/>
      <w:lvlText w:val="%2."/>
      <w:lvlJc w:val="left"/>
      <w:pPr>
        <w:ind w:left="1080" w:hanging="360"/>
      </w:pPr>
    </w:lvl>
    <w:lvl w:ilvl="2" w:tplc="05BA1780" w:tentative="1">
      <w:start w:val="1"/>
      <w:numFmt w:val="lowerRoman"/>
      <w:lvlText w:val="%3."/>
      <w:lvlJc w:val="right"/>
      <w:pPr>
        <w:ind w:left="1800" w:hanging="180"/>
      </w:pPr>
    </w:lvl>
    <w:lvl w:ilvl="3" w:tplc="05FE1BE0" w:tentative="1">
      <w:start w:val="1"/>
      <w:numFmt w:val="decimal"/>
      <w:lvlText w:val="%4."/>
      <w:lvlJc w:val="left"/>
      <w:pPr>
        <w:ind w:left="2520" w:hanging="360"/>
      </w:pPr>
    </w:lvl>
    <w:lvl w:ilvl="4" w:tplc="BD7E1388" w:tentative="1">
      <w:start w:val="1"/>
      <w:numFmt w:val="lowerLetter"/>
      <w:lvlText w:val="%5."/>
      <w:lvlJc w:val="left"/>
      <w:pPr>
        <w:ind w:left="3240" w:hanging="360"/>
      </w:pPr>
    </w:lvl>
    <w:lvl w:ilvl="5" w:tplc="BBF05E04" w:tentative="1">
      <w:start w:val="1"/>
      <w:numFmt w:val="lowerRoman"/>
      <w:lvlText w:val="%6."/>
      <w:lvlJc w:val="right"/>
      <w:pPr>
        <w:ind w:left="3960" w:hanging="180"/>
      </w:pPr>
    </w:lvl>
    <w:lvl w:ilvl="6" w:tplc="42E48700" w:tentative="1">
      <w:start w:val="1"/>
      <w:numFmt w:val="decimal"/>
      <w:lvlText w:val="%7."/>
      <w:lvlJc w:val="left"/>
      <w:pPr>
        <w:ind w:left="4680" w:hanging="360"/>
      </w:pPr>
    </w:lvl>
    <w:lvl w:ilvl="7" w:tplc="96EE8C04" w:tentative="1">
      <w:start w:val="1"/>
      <w:numFmt w:val="lowerLetter"/>
      <w:lvlText w:val="%8."/>
      <w:lvlJc w:val="left"/>
      <w:pPr>
        <w:ind w:left="5400" w:hanging="360"/>
      </w:pPr>
    </w:lvl>
    <w:lvl w:ilvl="8" w:tplc="DFC65F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0197D"/>
    <w:multiLevelType w:val="hybridMultilevel"/>
    <w:tmpl w:val="FA7281E4"/>
    <w:lvl w:ilvl="0" w:tplc="47145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1ECF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4D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EB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82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8C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0E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A9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8B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16BD5"/>
    <w:multiLevelType w:val="hybridMultilevel"/>
    <w:tmpl w:val="E2D0CA1C"/>
    <w:lvl w:ilvl="0" w:tplc="45AC26DC">
      <w:start w:val="1"/>
      <w:numFmt w:val="decimal"/>
      <w:lvlText w:val="%1."/>
      <w:lvlJc w:val="left"/>
      <w:pPr>
        <w:ind w:left="360" w:hanging="360"/>
      </w:pPr>
    </w:lvl>
    <w:lvl w:ilvl="1" w:tplc="4D7CDBF6" w:tentative="1">
      <w:start w:val="1"/>
      <w:numFmt w:val="lowerLetter"/>
      <w:lvlText w:val="%2."/>
      <w:lvlJc w:val="left"/>
      <w:pPr>
        <w:ind w:left="1080" w:hanging="360"/>
      </w:pPr>
    </w:lvl>
    <w:lvl w:ilvl="2" w:tplc="0BE0DC2E" w:tentative="1">
      <w:start w:val="1"/>
      <w:numFmt w:val="lowerRoman"/>
      <w:lvlText w:val="%3."/>
      <w:lvlJc w:val="right"/>
      <w:pPr>
        <w:ind w:left="1800" w:hanging="180"/>
      </w:pPr>
    </w:lvl>
    <w:lvl w:ilvl="3" w:tplc="533A3A94" w:tentative="1">
      <w:start w:val="1"/>
      <w:numFmt w:val="decimal"/>
      <w:lvlText w:val="%4."/>
      <w:lvlJc w:val="left"/>
      <w:pPr>
        <w:ind w:left="2520" w:hanging="360"/>
      </w:pPr>
    </w:lvl>
    <w:lvl w:ilvl="4" w:tplc="B1A699EC" w:tentative="1">
      <w:start w:val="1"/>
      <w:numFmt w:val="lowerLetter"/>
      <w:lvlText w:val="%5."/>
      <w:lvlJc w:val="left"/>
      <w:pPr>
        <w:ind w:left="3240" w:hanging="360"/>
      </w:pPr>
    </w:lvl>
    <w:lvl w:ilvl="5" w:tplc="5E2C4DAA" w:tentative="1">
      <w:start w:val="1"/>
      <w:numFmt w:val="lowerRoman"/>
      <w:lvlText w:val="%6."/>
      <w:lvlJc w:val="right"/>
      <w:pPr>
        <w:ind w:left="3960" w:hanging="180"/>
      </w:pPr>
    </w:lvl>
    <w:lvl w:ilvl="6" w:tplc="D71627FE" w:tentative="1">
      <w:start w:val="1"/>
      <w:numFmt w:val="decimal"/>
      <w:lvlText w:val="%7."/>
      <w:lvlJc w:val="left"/>
      <w:pPr>
        <w:ind w:left="4680" w:hanging="360"/>
      </w:pPr>
    </w:lvl>
    <w:lvl w:ilvl="7" w:tplc="B65677DE" w:tentative="1">
      <w:start w:val="1"/>
      <w:numFmt w:val="lowerLetter"/>
      <w:lvlText w:val="%8."/>
      <w:lvlJc w:val="left"/>
      <w:pPr>
        <w:ind w:left="5400" w:hanging="360"/>
      </w:pPr>
    </w:lvl>
    <w:lvl w:ilvl="8" w:tplc="DFFE99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54EE3"/>
    <w:multiLevelType w:val="hybridMultilevel"/>
    <w:tmpl w:val="FA7281E4"/>
    <w:lvl w:ilvl="0" w:tplc="19424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160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29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4C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C0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2B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AA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85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AD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A2B55"/>
    <w:multiLevelType w:val="hybridMultilevel"/>
    <w:tmpl w:val="31E47C0C"/>
    <w:lvl w:ilvl="0" w:tplc="5374FC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47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EC10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A893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B055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F70A7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30D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2657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C8D0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462A9"/>
    <w:rsid w:val="00074C6C"/>
    <w:rsid w:val="000756E8"/>
    <w:rsid w:val="000830CE"/>
    <w:rsid w:val="0008691A"/>
    <w:rsid w:val="000A1C44"/>
    <w:rsid w:val="000B60E1"/>
    <w:rsid w:val="000F6C32"/>
    <w:rsid w:val="000F76E9"/>
    <w:rsid w:val="001440AB"/>
    <w:rsid w:val="00145A1F"/>
    <w:rsid w:val="00150919"/>
    <w:rsid w:val="00181D76"/>
    <w:rsid w:val="001A33C0"/>
    <w:rsid w:val="001B4CFC"/>
    <w:rsid w:val="001E5FA4"/>
    <w:rsid w:val="001F7A01"/>
    <w:rsid w:val="00201A27"/>
    <w:rsid w:val="00245AA4"/>
    <w:rsid w:val="00316E08"/>
    <w:rsid w:val="00320951"/>
    <w:rsid w:val="00333532"/>
    <w:rsid w:val="00340C2E"/>
    <w:rsid w:val="00345881"/>
    <w:rsid w:val="003810A5"/>
    <w:rsid w:val="00397BA0"/>
    <w:rsid w:val="003A32E9"/>
    <w:rsid w:val="003C27D2"/>
    <w:rsid w:val="003E45C2"/>
    <w:rsid w:val="003E4858"/>
    <w:rsid w:val="00423D91"/>
    <w:rsid w:val="0043735F"/>
    <w:rsid w:val="00442699"/>
    <w:rsid w:val="00442F87"/>
    <w:rsid w:val="00465355"/>
    <w:rsid w:val="00470BDF"/>
    <w:rsid w:val="00486F1B"/>
    <w:rsid w:val="004C0437"/>
    <w:rsid w:val="004C4F20"/>
    <w:rsid w:val="004E3209"/>
    <w:rsid w:val="004F0D3F"/>
    <w:rsid w:val="00514E1D"/>
    <w:rsid w:val="00524DD8"/>
    <w:rsid w:val="0053684A"/>
    <w:rsid w:val="00555134"/>
    <w:rsid w:val="00572A14"/>
    <w:rsid w:val="0057383C"/>
    <w:rsid w:val="005E7EA1"/>
    <w:rsid w:val="006119F4"/>
    <w:rsid w:val="00630907"/>
    <w:rsid w:val="00652748"/>
    <w:rsid w:val="006B5A0C"/>
    <w:rsid w:val="006F720C"/>
    <w:rsid w:val="00710088"/>
    <w:rsid w:val="0071682A"/>
    <w:rsid w:val="00742876"/>
    <w:rsid w:val="00782DC3"/>
    <w:rsid w:val="007A662F"/>
    <w:rsid w:val="007B5E91"/>
    <w:rsid w:val="007D56B0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0209"/>
    <w:rsid w:val="00975498"/>
    <w:rsid w:val="0098294A"/>
    <w:rsid w:val="009B6604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053A"/>
    <w:rsid w:val="00BC2E73"/>
    <w:rsid w:val="00BD13C5"/>
    <w:rsid w:val="00BD7B45"/>
    <w:rsid w:val="00BE39EC"/>
    <w:rsid w:val="00BE6CD7"/>
    <w:rsid w:val="00BF6E12"/>
    <w:rsid w:val="00C11CA4"/>
    <w:rsid w:val="00C41738"/>
    <w:rsid w:val="00C73965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62199"/>
    <w:rsid w:val="00E834F4"/>
    <w:rsid w:val="00E85F4C"/>
    <w:rsid w:val="00EB5FB5"/>
    <w:rsid w:val="00F04730"/>
    <w:rsid w:val="00F179C9"/>
    <w:rsid w:val="00F31B92"/>
    <w:rsid w:val="00F445EC"/>
    <w:rsid w:val="00F821FE"/>
    <w:rsid w:val="00F97DB8"/>
    <w:rsid w:val="00FA12D7"/>
    <w:rsid w:val="00FD509C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1718B-6944-4B02-AA94-FDEA8719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B5F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8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8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Trojková Kamila</cp:lastModifiedBy>
  <cp:revision>2</cp:revision>
  <cp:lastPrinted>2020-10-12T06:48:00Z</cp:lastPrinted>
  <dcterms:created xsi:type="dcterms:W3CDTF">2020-11-02T13:27:00Z</dcterms:created>
  <dcterms:modified xsi:type="dcterms:W3CDTF">2020-11-02T13:27:00Z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UZSVM/UTP/4638/2012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EAS - Aukční vyhláška č. EAS/UTP/093/2020 - k.ú. Jeníkov u Duchcova, p.p.č. 519 - 1. kolo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Trojková Kamila</vt:lpwstr>
  </property>
  <property fmtid="{D5CDD505-2E9C-101B-9397-08002B2CF9AE}" pid="41" name="CUSTOM.VLASTNIK_JMENO_TISK">
    <vt:lpwstr/>
  </property>
  <property fmtid="{D5CDD505-2E9C-101B-9397-08002B2CF9AE}" pid="42" name="CUSTOM.VLASTNIK_MAIL">
    <vt:lpwstr>Kamila.Trojkova@uzsvm.cz</vt:lpwstr>
  </property>
  <property fmtid="{D5CDD505-2E9C-101B-9397-08002B2CF9AE}" pid="43" name="CUSTOM.VLASTNIK_TELEFON">
    <vt:lpwstr>+420 417 516 352</vt:lpwstr>
  </property>
  <property fmtid="{D5CDD505-2E9C-101B-9397-08002B2CF9AE}" pid="44" name="CUSTOM.VYTVOREN_DNE">
    <vt:lpwstr>08.10.2020</vt:lpwstr>
  </property>
  <property fmtid="{D5CDD505-2E9C-101B-9397-08002B2CF9AE}" pid="45" name="KOD.KOD_CJ">
    <vt:lpwstr>UZSVM/UTP/7151/2020-UTPM</vt:lpwstr>
  </property>
  <property fmtid="{D5CDD505-2E9C-101B-9397-08002B2CF9AE}" pid="46" name="KOD.KOD_EVC">
    <vt:lpwstr>7643/UTP/2020-UTPM</vt:lpwstr>
  </property>
  <property fmtid="{D5CDD505-2E9C-101B-9397-08002B2CF9AE}" pid="47" name="KOD.KOD_EVC_BARCODE">
    <vt:lpwstr>µ#7643/UTP/2020-UTPM@v¸</vt:lpwstr>
  </property>
  <property fmtid="{D5CDD505-2E9C-101B-9397-08002B2CF9AE}" pid="48" name="KOD.KOD_IU_CODE">
    <vt:lpwstr>4125</vt:lpwstr>
  </property>
  <property fmtid="{D5CDD505-2E9C-101B-9397-08002B2CF9AE}" pid="49" name="KOD.KOD_IU_SHORT">
    <vt:lpwstr>UTPM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b40cede5-58f2-4bcf-a598-848137bf2f17</vt:lpwstr>
  </property>
  <property fmtid="{D5CDD505-2E9C-101B-9397-08002B2CF9AE}" pid="52" name="KrbDmsIdForm">
    <vt:lpwstr>b40cede5-58f2-4bcf-a598-848137bf2f17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